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6"/>
        </w:rPr>
      </w:pPr>
    </w:p>
    <w:p>
      <w:pPr>
        <w:pStyle w:val="Title"/>
        <w:spacing w:before="91" w:after="21"/>
        <w:ind w:left="2533"/>
      </w:pPr>
      <w:r>
        <w:rPr/>
        <w:drawing>
          <wp:anchor distT="0" distB="0" distL="0" distR="0" allowOverlap="1" layoutInCell="1" locked="0" behindDoc="0" simplePos="0" relativeHeight="15729664">
            <wp:simplePos x="0" y="0"/>
            <wp:positionH relativeFrom="page">
              <wp:posOffset>0</wp:posOffset>
            </wp:positionH>
            <wp:positionV relativeFrom="paragraph">
              <wp:posOffset>-1435081</wp:posOffset>
            </wp:positionV>
            <wp:extent cx="7556500" cy="931926"/>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1926"/>
                    </a:xfrm>
                    <a:prstGeom prst="rect">
                      <a:avLst/>
                    </a:prstGeom>
                  </pic:spPr>
                </pic:pic>
              </a:graphicData>
            </a:graphic>
          </wp:anchor>
        </w:drawing>
      </w:r>
      <w:r>
        <w:rPr/>
        <w:t>AUSTRALIAN CUSTOMS NOTICE NO. 2004/50</w:t>
      </w:r>
    </w:p>
    <w:p>
      <w:pPr>
        <w:pStyle w:val="BodyText"/>
        <w:spacing w:line="20" w:lineRule="exact"/>
        <w:ind w:left="1770"/>
        <w:rPr>
          <w:sz w:val="2"/>
        </w:rPr>
      </w:pPr>
      <w:r>
        <w:rPr>
          <w:sz w:val="2"/>
        </w:rPr>
        <w:pict>
          <v:group style="width:418.35pt;height:.75pt;mso-position-horizontal-relative:char;mso-position-vertical-relative:line" coordorigin="0,0" coordsize="8367,15">
            <v:rect style="position:absolute;left:0;top:0;width:8367;height:15" filled="true" fillcolor="#000000" stroked="false">
              <v:fill type="solid"/>
            </v:rect>
          </v:group>
        </w:pict>
      </w:r>
      <w:r>
        <w:rPr>
          <w:sz w:val="2"/>
        </w:rPr>
      </w:r>
    </w:p>
    <w:p>
      <w:pPr>
        <w:pStyle w:val="Title"/>
        <w:ind w:right="2300"/>
      </w:pPr>
      <w:r>
        <w:rPr/>
        <w:t>Thailand-Australia Free Trade Agreement – Customs Tariff Amendments</w:t>
      </w:r>
    </w:p>
    <w:p>
      <w:pPr>
        <w:pStyle w:val="BodyText"/>
        <w:rPr>
          <w:b/>
          <w:sz w:val="29"/>
        </w:rPr>
      </w:pPr>
    </w:p>
    <w:p>
      <w:pPr>
        <w:spacing w:before="0"/>
        <w:ind w:left="1799" w:right="1749" w:firstLine="0"/>
        <w:jc w:val="left"/>
        <w:rPr>
          <w:sz w:val="20"/>
        </w:rPr>
      </w:pPr>
      <w:r>
        <w:rPr>
          <w:sz w:val="20"/>
        </w:rPr>
        <w:t>The </w:t>
      </w:r>
      <w:r>
        <w:rPr>
          <w:i/>
          <w:sz w:val="20"/>
        </w:rPr>
        <w:t>Customs Tariff Amendment </w:t>
      </w:r>
      <w:r>
        <w:rPr>
          <w:sz w:val="20"/>
        </w:rPr>
        <w:t>(</w:t>
      </w:r>
      <w:r>
        <w:rPr>
          <w:i/>
          <w:sz w:val="20"/>
        </w:rPr>
        <w:t>Thailand-Australia Free Trade Agreement Implementation) Act 2004 </w:t>
      </w:r>
      <w:r>
        <w:rPr>
          <w:sz w:val="20"/>
        </w:rPr>
        <w:t>(the TAFTA Tariff Act) received the Royal Assent on 26 November 2004. It contains amendments to the </w:t>
      </w:r>
      <w:r>
        <w:rPr>
          <w:i/>
          <w:sz w:val="20"/>
        </w:rPr>
        <w:t>Customs Tariff Act 1995 </w:t>
      </w:r>
      <w:r>
        <w:rPr>
          <w:sz w:val="20"/>
        </w:rPr>
        <w:t>(the Tariff) to implement the duty reductions contained in the Thailand-Australia Free Trade Agreement (TAFTA) by:</w:t>
      </w:r>
    </w:p>
    <w:p>
      <w:pPr>
        <w:pStyle w:val="BodyText"/>
        <w:spacing w:before="4"/>
        <w:rPr>
          <w:sz w:val="21"/>
        </w:rPr>
      </w:pPr>
    </w:p>
    <w:p>
      <w:pPr>
        <w:pStyle w:val="BodyText"/>
        <w:ind w:left="2520" w:right="2078"/>
      </w:pPr>
      <w:r>
        <w:rPr/>
        <w:t>providing duty-free access for certain goods and preferential rates of customs duty for other goods that are Thai originating goods (in accordance with Division 1D of Part VIII of the </w:t>
      </w:r>
      <w:r>
        <w:rPr>
          <w:i/>
        </w:rPr>
        <w:t>Customs Act 1901</w:t>
      </w:r>
      <w:r>
        <w:rPr/>
        <w:t>);</w:t>
      </w:r>
    </w:p>
    <w:p>
      <w:pPr>
        <w:pStyle w:val="BodyText"/>
        <w:spacing w:before="2"/>
        <w:rPr>
          <w:sz w:val="21"/>
        </w:rPr>
      </w:pPr>
    </w:p>
    <w:p>
      <w:pPr>
        <w:pStyle w:val="BodyText"/>
        <w:ind w:left="2520" w:right="2211"/>
      </w:pPr>
      <w:r>
        <w:rPr/>
        <w:t>phasing the above preferential rates of customs duty for certain goods to Free by 2015;</w:t>
      </w:r>
    </w:p>
    <w:p>
      <w:pPr>
        <w:pStyle w:val="BodyText"/>
        <w:spacing w:before="3"/>
        <w:rPr>
          <w:sz w:val="21"/>
        </w:rPr>
      </w:pPr>
    </w:p>
    <w:p>
      <w:pPr>
        <w:pStyle w:val="BodyText"/>
        <w:ind w:left="2520" w:right="1889"/>
      </w:pPr>
      <w:r>
        <w:rPr/>
        <w:t>creating a new Schedule 6 to the Tariff to accommodate those phasing rates of duty; and</w:t>
      </w:r>
    </w:p>
    <w:p>
      <w:pPr>
        <w:pStyle w:val="BodyText"/>
        <w:spacing w:before="3"/>
        <w:rPr>
          <w:sz w:val="21"/>
        </w:rPr>
      </w:pPr>
    </w:p>
    <w:p>
      <w:pPr>
        <w:pStyle w:val="BodyText"/>
        <w:ind w:left="2520" w:right="2444"/>
      </w:pPr>
      <w:r>
        <w:rPr/>
        <w:t>providing the mechanism to initiate safeguard measures on sensitive products including canned tuna, processed pineapple and pineapple juice, if necessary.</w:t>
      </w:r>
    </w:p>
    <w:p>
      <w:pPr>
        <w:pStyle w:val="BodyText"/>
      </w:pPr>
    </w:p>
    <w:p>
      <w:pPr>
        <w:pStyle w:val="BodyText"/>
        <w:ind w:left="1800" w:right="1749"/>
      </w:pPr>
      <w:r>
        <w:rPr/>
        <w:t>The amendments to the Tariff contained in the TAFTA Tariff Act provide that a Free rate of duty applies to Thai originating goods, unless a rate is specified in new Schedule 6 opposite the tariff classification that applies to those goods.</w:t>
      </w:r>
    </w:p>
    <w:p>
      <w:pPr>
        <w:pStyle w:val="BodyText"/>
      </w:pPr>
    </w:p>
    <w:p>
      <w:pPr>
        <w:pStyle w:val="BodyText"/>
        <w:spacing w:before="1"/>
        <w:ind w:left="1800" w:right="1749"/>
      </w:pPr>
      <w:r>
        <w:rPr/>
        <w:t>Reference should be made to ACN No. 2004/51, which sets out the rules for determining whether goods are Thai originating goods, for the purposes of the Tariff.</w:t>
      </w:r>
    </w:p>
    <w:p>
      <w:pPr>
        <w:pStyle w:val="BodyText"/>
        <w:spacing w:before="11"/>
        <w:rPr>
          <w:sz w:val="19"/>
        </w:rPr>
      </w:pPr>
    </w:p>
    <w:p>
      <w:pPr>
        <w:pStyle w:val="BodyText"/>
        <w:ind w:left="1800" w:right="2078"/>
      </w:pPr>
      <w:r>
        <w:rPr/>
        <w:t>It is expected that the amendments will come into effect on 1 January 2005. A COMPILE news message will be issued when the exact date is confirmed.</w:t>
      </w:r>
    </w:p>
    <w:p>
      <w:pPr>
        <w:pStyle w:val="BodyText"/>
      </w:pPr>
    </w:p>
    <w:p>
      <w:pPr>
        <w:pStyle w:val="BodyText"/>
        <w:ind w:left="1800" w:right="2376"/>
      </w:pPr>
      <w:r>
        <w:rPr/>
        <w:t>The introduction of the TAFTA will affect entry procedures for goods from Thailand. In particular, a new preference code will apply for Thai originating goods when the TAFTA enters into force.</w:t>
      </w:r>
    </w:p>
    <w:p>
      <w:pPr>
        <w:pStyle w:val="BodyText"/>
        <w:spacing w:before="2"/>
      </w:pPr>
    </w:p>
    <w:p>
      <w:pPr>
        <w:pStyle w:val="Heading1"/>
      </w:pPr>
      <w:r>
        <w:rPr/>
        <w:t>Entry procedures for goods from Thailand</w:t>
      </w:r>
    </w:p>
    <w:p>
      <w:pPr>
        <w:pStyle w:val="BodyText"/>
        <w:rPr>
          <w:rFonts w:ascii="Arial-BoldItalicMT"/>
          <w:b/>
          <w:i/>
          <w:sz w:val="21"/>
        </w:rPr>
      </w:pPr>
    </w:p>
    <w:p>
      <w:pPr>
        <w:pStyle w:val="BodyText"/>
        <w:ind w:left="2520" w:right="1749"/>
      </w:pPr>
      <w:r>
        <w:rPr/>
        <w:t>Where goods are Thai originating goods, the preference indicator "H" should be used on Customs entries to access the preferential rate of duty.</w:t>
      </w:r>
    </w:p>
    <w:p>
      <w:pPr>
        <w:pStyle w:val="BodyText"/>
        <w:spacing w:before="3"/>
        <w:rPr>
          <w:sz w:val="21"/>
        </w:rPr>
      </w:pPr>
    </w:p>
    <w:p>
      <w:pPr>
        <w:pStyle w:val="BodyText"/>
        <w:ind w:left="2520" w:right="2053"/>
        <w:jc w:val="both"/>
      </w:pPr>
      <w:r>
        <w:rPr/>
        <w:t>Where goods are manufactured in Thailand, but are not Thai originating goods, the preference indicator "T" should be used where a Developing Country (DCS) rate of duty applies.</w:t>
      </w:r>
    </w:p>
    <w:p>
      <w:pPr>
        <w:pStyle w:val="BodyText"/>
        <w:spacing w:before="3"/>
        <w:rPr>
          <w:sz w:val="21"/>
        </w:rPr>
      </w:pPr>
    </w:p>
    <w:p>
      <w:pPr>
        <w:pStyle w:val="BodyText"/>
        <w:ind w:left="2520" w:right="2022"/>
        <w:jc w:val="both"/>
      </w:pPr>
      <w:r>
        <w:rPr/>
        <w:t>Where safeguard provisions are invoked (see below) preference indicator "I" will be available for those goods.</w:t>
      </w:r>
    </w:p>
    <w:p>
      <w:pPr>
        <w:pStyle w:val="BodyText"/>
        <w:spacing w:before="3"/>
        <w:rPr>
          <w:sz w:val="21"/>
        </w:rPr>
      </w:pPr>
    </w:p>
    <w:p>
      <w:pPr>
        <w:pStyle w:val="BodyText"/>
        <w:ind w:left="2520"/>
        <w:jc w:val="both"/>
      </w:pPr>
      <w:r>
        <w:rPr/>
        <w:t>The preference indicator "X" should be used where the general rate of duty applies.</w:t>
      </w:r>
    </w:p>
    <w:p>
      <w:pPr>
        <w:pStyle w:val="BodyText"/>
      </w:pPr>
    </w:p>
    <w:p>
      <w:pPr>
        <w:pStyle w:val="BodyText"/>
      </w:pPr>
    </w:p>
    <w:p>
      <w:pPr>
        <w:pStyle w:val="BodyText"/>
      </w:pPr>
    </w:p>
    <w:p>
      <w:pPr>
        <w:pStyle w:val="BodyText"/>
        <w:spacing w:before="3"/>
        <w:rPr>
          <w:sz w:val="26"/>
        </w:rPr>
      </w:pPr>
      <w:r>
        <w:rPr/>
        <w:drawing>
          <wp:anchor distT="0" distB="0" distL="0" distR="0" allowOverlap="1" layoutInCell="1" locked="0" behindDoc="0" simplePos="0" relativeHeight="1">
            <wp:simplePos x="0" y="0"/>
            <wp:positionH relativeFrom="page">
              <wp:posOffset>5591555</wp:posOffset>
            </wp:positionH>
            <wp:positionV relativeFrom="paragraph">
              <wp:posOffset>216548</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p>
      <w:pPr>
        <w:spacing w:after="0"/>
        <w:rPr>
          <w:sz w:val="26"/>
        </w:rPr>
        <w:sectPr>
          <w:type w:val="continuous"/>
          <w:pgSz w:w="11900" w:h="16840"/>
          <w:pgMar w:top="720" w:bottom="280" w:left="0" w:right="0"/>
        </w:sectPr>
      </w:pPr>
    </w:p>
    <w:p>
      <w:pPr>
        <w:pStyle w:val="BodyText"/>
      </w:pPr>
    </w:p>
    <w:p>
      <w:pPr>
        <w:pStyle w:val="BodyText"/>
        <w:spacing w:before="6"/>
        <w:rPr>
          <w:sz w:val="23"/>
        </w:rPr>
      </w:pPr>
    </w:p>
    <w:p>
      <w:pPr>
        <w:pStyle w:val="BodyText"/>
        <w:ind w:left="1800" w:right="2398"/>
      </w:pPr>
      <w:r>
        <w:rPr/>
        <w:t>Where preference is claimed and Customs finds that the imported goods are not Thai originating goods, Customs will demand the duty short-paid and may impose penalties. Additional action may be taken where fraud is indicated.</w:t>
      </w:r>
    </w:p>
    <w:p>
      <w:pPr>
        <w:pStyle w:val="BodyText"/>
        <w:spacing w:before="3"/>
      </w:pPr>
    </w:p>
    <w:p>
      <w:pPr>
        <w:pStyle w:val="Heading1"/>
      </w:pPr>
      <w:r>
        <w:rPr/>
        <w:t>Safeguard Goods</w:t>
      </w:r>
    </w:p>
    <w:p>
      <w:pPr>
        <w:pStyle w:val="BodyText"/>
        <w:spacing w:before="7"/>
        <w:rPr>
          <w:rFonts w:ascii="Arial-BoldItalicMT"/>
          <w:b/>
          <w:i/>
        </w:rPr>
      </w:pPr>
    </w:p>
    <w:p>
      <w:pPr>
        <w:pStyle w:val="BodyText"/>
        <w:ind w:left="1800" w:right="1749"/>
      </w:pPr>
      <w:r>
        <w:rPr/>
        <w:t>Importers should note that, under new section 16A of the Tariff, special safeguard provisions apply to certain Thai originating goods that are listed in the Table below (safeguard goods). Where the volume of safeguard goods imported in a particular calendar year exceeds the volume specified in the Table, special safeguards may be imposed. If special safeguards are imposed, the duty rate for safeguard goods will return to the general rate for the remainder of the calendar year.</w:t>
      </w:r>
    </w:p>
    <w:p>
      <w:pPr>
        <w:pStyle w:val="BodyText"/>
        <w:spacing w:before="1"/>
        <w:rPr>
          <w:sz w:val="21"/>
        </w:rPr>
      </w:pPr>
    </w:p>
    <w:tbl>
      <w:tblPr>
        <w:tblW w:w="0" w:type="auto"/>
        <w:jc w:val="left"/>
        <w:tblInd w:w="1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5"/>
        <w:gridCol w:w="1352"/>
        <w:gridCol w:w="1075"/>
        <w:gridCol w:w="1217"/>
        <w:gridCol w:w="1218"/>
        <w:gridCol w:w="1218"/>
        <w:gridCol w:w="1217"/>
      </w:tblGrid>
      <w:tr>
        <w:trPr>
          <w:trHeight w:val="574" w:hRule="atLeast"/>
        </w:trPr>
        <w:tc>
          <w:tcPr>
            <w:tcW w:w="1225" w:type="dxa"/>
          </w:tcPr>
          <w:p>
            <w:pPr>
              <w:pStyle w:val="TableParagraph"/>
              <w:spacing w:before="54"/>
              <w:ind w:left="149" w:right="123" w:firstLine="234"/>
              <w:rPr>
                <w:sz w:val="20"/>
              </w:rPr>
            </w:pPr>
            <w:r>
              <w:rPr>
                <w:sz w:val="20"/>
              </w:rPr>
              <w:t>Tariff Reference</w:t>
            </w:r>
          </w:p>
        </w:tc>
        <w:tc>
          <w:tcPr>
            <w:tcW w:w="1352" w:type="dxa"/>
          </w:tcPr>
          <w:p>
            <w:pPr>
              <w:pStyle w:val="TableParagraph"/>
              <w:spacing w:before="168"/>
              <w:ind w:left="175"/>
              <w:rPr>
                <w:sz w:val="20"/>
              </w:rPr>
            </w:pPr>
            <w:r>
              <w:rPr>
                <w:sz w:val="20"/>
              </w:rPr>
              <w:t>Description</w:t>
            </w:r>
          </w:p>
        </w:tc>
        <w:tc>
          <w:tcPr>
            <w:tcW w:w="1075" w:type="dxa"/>
          </w:tcPr>
          <w:p>
            <w:pPr>
              <w:pStyle w:val="TableParagraph"/>
              <w:spacing w:before="168"/>
              <w:ind w:left="89" w:right="79"/>
              <w:jc w:val="center"/>
              <w:rPr>
                <w:sz w:val="20"/>
              </w:rPr>
            </w:pPr>
            <w:r>
              <w:rPr>
                <w:sz w:val="20"/>
              </w:rPr>
              <w:t>Unit</w:t>
            </w:r>
          </w:p>
        </w:tc>
        <w:tc>
          <w:tcPr>
            <w:tcW w:w="1217" w:type="dxa"/>
          </w:tcPr>
          <w:p>
            <w:pPr>
              <w:pStyle w:val="TableParagraph"/>
              <w:spacing w:before="168"/>
              <w:ind w:left="386"/>
              <w:rPr>
                <w:sz w:val="20"/>
              </w:rPr>
            </w:pPr>
            <w:r>
              <w:rPr>
                <w:sz w:val="20"/>
              </w:rPr>
              <w:t>2005</w:t>
            </w:r>
          </w:p>
        </w:tc>
        <w:tc>
          <w:tcPr>
            <w:tcW w:w="1218" w:type="dxa"/>
          </w:tcPr>
          <w:p>
            <w:pPr>
              <w:pStyle w:val="TableParagraph"/>
              <w:spacing w:before="168"/>
              <w:ind w:left="282"/>
              <w:rPr>
                <w:sz w:val="20"/>
              </w:rPr>
            </w:pPr>
            <w:r>
              <w:rPr>
                <w:sz w:val="20"/>
              </w:rPr>
              <w:t>2006</w:t>
            </w:r>
          </w:p>
        </w:tc>
        <w:tc>
          <w:tcPr>
            <w:tcW w:w="1218" w:type="dxa"/>
          </w:tcPr>
          <w:p>
            <w:pPr>
              <w:pStyle w:val="TableParagraph"/>
              <w:spacing w:before="168"/>
              <w:ind w:left="385"/>
              <w:rPr>
                <w:sz w:val="20"/>
              </w:rPr>
            </w:pPr>
            <w:r>
              <w:rPr>
                <w:sz w:val="20"/>
              </w:rPr>
              <w:t>2007</w:t>
            </w:r>
          </w:p>
        </w:tc>
        <w:tc>
          <w:tcPr>
            <w:tcW w:w="1217" w:type="dxa"/>
          </w:tcPr>
          <w:p>
            <w:pPr>
              <w:pStyle w:val="TableParagraph"/>
              <w:spacing w:before="168"/>
              <w:ind w:left="87" w:right="77"/>
              <w:jc w:val="center"/>
              <w:rPr>
                <w:sz w:val="20"/>
              </w:rPr>
            </w:pPr>
            <w:r>
              <w:rPr>
                <w:sz w:val="20"/>
              </w:rPr>
              <w:t>2008</w:t>
            </w:r>
          </w:p>
        </w:tc>
      </w:tr>
      <w:tr>
        <w:trPr>
          <w:trHeight w:val="1723" w:hRule="atLeast"/>
        </w:trPr>
        <w:tc>
          <w:tcPr>
            <w:tcW w:w="1225" w:type="dxa"/>
          </w:tcPr>
          <w:p>
            <w:pPr>
              <w:pStyle w:val="TableParagraph"/>
              <w:rPr>
                <w:sz w:val="22"/>
              </w:rPr>
            </w:pPr>
          </w:p>
          <w:p>
            <w:pPr>
              <w:pStyle w:val="TableParagraph"/>
              <w:rPr>
                <w:sz w:val="22"/>
              </w:rPr>
            </w:pPr>
          </w:p>
          <w:p>
            <w:pPr>
              <w:pStyle w:val="TableParagraph"/>
              <w:spacing w:before="7"/>
              <w:rPr>
                <w:sz w:val="20"/>
              </w:rPr>
            </w:pPr>
          </w:p>
          <w:p>
            <w:pPr>
              <w:pStyle w:val="TableParagraph"/>
              <w:ind w:left="111"/>
              <w:rPr>
                <w:sz w:val="20"/>
              </w:rPr>
            </w:pPr>
            <w:r>
              <w:rPr>
                <w:sz w:val="20"/>
              </w:rPr>
              <w:t>1604.14.00</w:t>
            </w:r>
          </w:p>
        </w:tc>
        <w:tc>
          <w:tcPr>
            <w:tcW w:w="1352" w:type="dxa"/>
          </w:tcPr>
          <w:p>
            <w:pPr>
              <w:pStyle w:val="TableParagraph"/>
              <w:spacing w:before="54"/>
              <w:ind w:left="107" w:right="130"/>
              <w:rPr>
                <w:sz w:val="20"/>
              </w:rPr>
            </w:pPr>
            <w:r>
              <w:rPr>
                <w:sz w:val="20"/>
              </w:rPr>
              <w:t>Prepared or preserved tunas, skipjack </w:t>
            </w:r>
            <w:r>
              <w:rPr>
                <w:spacing w:val="-5"/>
                <w:sz w:val="20"/>
              </w:rPr>
              <w:t>and </w:t>
            </w:r>
            <w:r>
              <w:rPr>
                <w:sz w:val="20"/>
              </w:rPr>
              <w:t>bonito (</w:t>
            </w:r>
            <w:r>
              <w:rPr>
                <w:i/>
                <w:sz w:val="20"/>
              </w:rPr>
              <w:t>Sarda spp.</w:t>
            </w:r>
            <w:r>
              <w:rPr>
                <w:sz w:val="20"/>
              </w:rPr>
              <w:t>).</w:t>
            </w:r>
          </w:p>
        </w:tc>
        <w:tc>
          <w:tcPr>
            <w:tcW w:w="1075" w:type="dxa"/>
          </w:tcPr>
          <w:p>
            <w:pPr>
              <w:pStyle w:val="TableParagraph"/>
              <w:rPr>
                <w:sz w:val="22"/>
              </w:rPr>
            </w:pPr>
          </w:p>
          <w:p>
            <w:pPr>
              <w:pStyle w:val="TableParagraph"/>
              <w:rPr>
                <w:sz w:val="22"/>
              </w:rPr>
            </w:pPr>
          </w:p>
          <w:p>
            <w:pPr>
              <w:pStyle w:val="TableParagraph"/>
              <w:spacing w:before="7"/>
              <w:rPr>
                <w:sz w:val="20"/>
              </w:rPr>
            </w:pPr>
          </w:p>
          <w:p>
            <w:pPr>
              <w:pStyle w:val="TableParagraph"/>
              <w:ind w:left="89" w:right="80"/>
              <w:jc w:val="center"/>
              <w:rPr>
                <w:sz w:val="20"/>
              </w:rPr>
            </w:pPr>
            <w:r>
              <w:rPr>
                <w:sz w:val="20"/>
              </w:rPr>
              <w:t>kilograms</w:t>
            </w:r>
          </w:p>
        </w:tc>
        <w:tc>
          <w:tcPr>
            <w:tcW w:w="1217" w:type="dxa"/>
          </w:tcPr>
          <w:p>
            <w:pPr>
              <w:pStyle w:val="TableParagraph"/>
              <w:rPr>
                <w:sz w:val="22"/>
              </w:rPr>
            </w:pPr>
          </w:p>
          <w:p>
            <w:pPr>
              <w:pStyle w:val="TableParagraph"/>
              <w:rPr>
                <w:sz w:val="22"/>
              </w:rPr>
            </w:pPr>
          </w:p>
          <w:p>
            <w:pPr>
              <w:pStyle w:val="TableParagraph"/>
              <w:spacing w:before="7"/>
              <w:rPr>
                <w:sz w:val="20"/>
              </w:rPr>
            </w:pPr>
          </w:p>
          <w:p>
            <w:pPr>
              <w:pStyle w:val="TableParagraph"/>
              <w:ind w:right="95"/>
              <w:jc w:val="right"/>
              <w:rPr>
                <w:sz w:val="20"/>
              </w:rPr>
            </w:pPr>
            <w:r>
              <w:rPr>
                <w:sz w:val="20"/>
              </w:rPr>
              <w:t>21,366,277</w:t>
            </w:r>
          </w:p>
        </w:tc>
        <w:tc>
          <w:tcPr>
            <w:tcW w:w="1218" w:type="dxa"/>
          </w:tcPr>
          <w:p>
            <w:pPr>
              <w:pStyle w:val="TableParagraph"/>
              <w:rPr>
                <w:sz w:val="22"/>
              </w:rPr>
            </w:pPr>
          </w:p>
          <w:p>
            <w:pPr>
              <w:pStyle w:val="TableParagraph"/>
              <w:rPr>
                <w:sz w:val="22"/>
              </w:rPr>
            </w:pPr>
          </w:p>
          <w:p>
            <w:pPr>
              <w:pStyle w:val="TableParagraph"/>
              <w:spacing w:before="7"/>
              <w:rPr>
                <w:sz w:val="20"/>
              </w:rPr>
            </w:pPr>
          </w:p>
          <w:p>
            <w:pPr>
              <w:pStyle w:val="TableParagraph"/>
              <w:ind w:right="96"/>
              <w:jc w:val="right"/>
              <w:rPr>
                <w:sz w:val="20"/>
              </w:rPr>
            </w:pPr>
            <w:r>
              <w:rPr>
                <w:sz w:val="20"/>
              </w:rPr>
              <w:t>22,434,591</w:t>
            </w:r>
          </w:p>
        </w:tc>
        <w:tc>
          <w:tcPr>
            <w:tcW w:w="1218" w:type="dxa"/>
          </w:tcPr>
          <w:p>
            <w:pPr>
              <w:pStyle w:val="TableParagraph"/>
              <w:rPr>
                <w:sz w:val="22"/>
              </w:rPr>
            </w:pPr>
          </w:p>
          <w:p>
            <w:pPr>
              <w:pStyle w:val="TableParagraph"/>
              <w:rPr>
                <w:sz w:val="22"/>
              </w:rPr>
            </w:pPr>
          </w:p>
          <w:p>
            <w:pPr>
              <w:pStyle w:val="TableParagraph"/>
              <w:spacing w:before="7"/>
              <w:rPr>
                <w:sz w:val="20"/>
              </w:rPr>
            </w:pPr>
          </w:p>
          <w:p>
            <w:pPr>
              <w:pStyle w:val="TableParagraph"/>
              <w:ind w:right="96"/>
              <w:jc w:val="right"/>
              <w:rPr>
                <w:sz w:val="20"/>
              </w:rPr>
            </w:pPr>
            <w:r>
              <w:rPr>
                <w:sz w:val="20"/>
              </w:rPr>
              <w:t>23,556,320</w:t>
            </w:r>
          </w:p>
        </w:tc>
        <w:tc>
          <w:tcPr>
            <w:tcW w:w="1217" w:type="dxa"/>
          </w:tcPr>
          <w:p>
            <w:pPr>
              <w:pStyle w:val="TableParagraph"/>
              <w:rPr>
                <w:sz w:val="22"/>
              </w:rPr>
            </w:pPr>
          </w:p>
          <w:p>
            <w:pPr>
              <w:pStyle w:val="TableParagraph"/>
              <w:rPr>
                <w:sz w:val="22"/>
              </w:rPr>
            </w:pPr>
          </w:p>
          <w:p>
            <w:pPr>
              <w:pStyle w:val="TableParagraph"/>
              <w:spacing w:before="7"/>
              <w:rPr>
                <w:sz w:val="20"/>
              </w:rPr>
            </w:pPr>
          </w:p>
          <w:p>
            <w:pPr>
              <w:pStyle w:val="TableParagraph"/>
              <w:ind w:left="87" w:right="78"/>
              <w:jc w:val="center"/>
              <w:rPr>
                <w:sz w:val="20"/>
              </w:rPr>
            </w:pPr>
            <w:r>
              <w:rPr>
                <w:sz w:val="20"/>
              </w:rPr>
              <w:t>24,734,136</w:t>
            </w:r>
          </w:p>
        </w:tc>
      </w:tr>
      <w:tr>
        <w:trPr>
          <w:trHeight w:val="1263" w:hRule="atLeast"/>
        </w:trPr>
        <w:tc>
          <w:tcPr>
            <w:tcW w:w="1225" w:type="dxa"/>
          </w:tcPr>
          <w:p>
            <w:pPr>
              <w:pStyle w:val="TableParagraph"/>
              <w:rPr>
                <w:sz w:val="22"/>
              </w:rPr>
            </w:pPr>
          </w:p>
          <w:p>
            <w:pPr>
              <w:pStyle w:val="TableParagraph"/>
              <w:spacing w:before="146"/>
              <w:ind w:left="111" w:right="83" w:firstLine="394"/>
              <w:rPr>
                <w:sz w:val="20"/>
              </w:rPr>
            </w:pPr>
            <w:r>
              <w:rPr>
                <w:sz w:val="20"/>
              </w:rPr>
              <w:t>ex 2008.20.00</w:t>
            </w:r>
          </w:p>
        </w:tc>
        <w:tc>
          <w:tcPr>
            <w:tcW w:w="1352" w:type="dxa"/>
          </w:tcPr>
          <w:p>
            <w:pPr>
              <w:pStyle w:val="TableParagraph"/>
              <w:spacing w:before="54"/>
              <w:ind w:left="107" w:right="169"/>
              <w:rPr>
                <w:sz w:val="20"/>
              </w:rPr>
            </w:pPr>
            <w:r>
              <w:rPr>
                <w:sz w:val="20"/>
              </w:rPr>
              <w:t>Pineapples, otherwise prepared or preserved, canned.</w:t>
            </w:r>
          </w:p>
        </w:tc>
        <w:tc>
          <w:tcPr>
            <w:tcW w:w="1075" w:type="dxa"/>
          </w:tcPr>
          <w:p>
            <w:pPr>
              <w:pStyle w:val="TableParagraph"/>
              <w:rPr>
                <w:sz w:val="22"/>
              </w:rPr>
            </w:pPr>
          </w:p>
          <w:p>
            <w:pPr>
              <w:pStyle w:val="TableParagraph"/>
              <w:spacing w:before="8"/>
              <w:rPr>
                <w:sz w:val="22"/>
              </w:rPr>
            </w:pPr>
          </w:p>
          <w:p>
            <w:pPr>
              <w:pStyle w:val="TableParagraph"/>
              <w:ind w:left="89" w:right="80"/>
              <w:jc w:val="center"/>
              <w:rPr>
                <w:sz w:val="20"/>
              </w:rPr>
            </w:pPr>
            <w:r>
              <w:rPr>
                <w:sz w:val="20"/>
              </w:rPr>
              <w:t>litres</w:t>
            </w:r>
          </w:p>
        </w:tc>
        <w:tc>
          <w:tcPr>
            <w:tcW w:w="1217" w:type="dxa"/>
          </w:tcPr>
          <w:p>
            <w:pPr>
              <w:pStyle w:val="TableParagraph"/>
              <w:rPr>
                <w:sz w:val="22"/>
              </w:rPr>
            </w:pPr>
          </w:p>
          <w:p>
            <w:pPr>
              <w:pStyle w:val="TableParagraph"/>
              <w:spacing w:before="8"/>
              <w:rPr>
                <w:sz w:val="22"/>
              </w:rPr>
            </w:pPr>
          </w:p>
          <w:p>
            <w:pPr>
              <w:pStyle w:val="TableParagraph"/>
              <w:ind w:right="95"/>
              <w:jc w:val="right"/>
              <w:rPr>
                <w:sz w:val="20"/>
              </w:rPr>
            </w:pPr>
            <w:r>
              <w:rPr>
                <w:sz w:val="20"/>
              </w:rPr>
              <w:t>6,083,197</w:t>
            </w:r>
          </w:p>
        </w:tc>
        <w:tc>
          <w:tcPr>
            <w:tcW w:w="1218" w:type="dxa"/>
          </w:tcPr>
          <w:p>
            <w:pPr>
              <w:pStyle w:val="TableParagraph"/>
              <w:rPr>
                <w:sz w:val="22"/>
              </w:rPr>
            </w:pPr>
          </w:p>
          <w:p>
            <w:pPr>
              <w:pStyle w:val="TableParagraph"/>
              <w:spacing w:before="8"/>
              <w:rPr>
                <w:sz w:val="22"/>
              </w:rPr>
            </w:pPr>
          </w:p>
          <w:p>
            <w:pPr>
              <w:pStyle w:val="TableParagraph"/>
              <w:ind w:right="98"/>
              <w:jc w:val="right"/>
              <w:rPr>
                <w:sz w:val="20"/>
              </w:rPr>
            </w:pPr>
            <w:r>
              <w:rPr>
                <w:sz w:val="20"/>
              </w:rPr>
              <w:t>6,387,357</w:t>
            </w:r>
          </w:p>
        </w:tc>
        <w:tc>
          <w:tcPr>
            <w:tcW w:w="1218" w:type="dxa"/>
          </w:tcPr>
          <w:p>
            <w:pPr>
              <w:pStyle w:val="TableParagraph"/>
              <w:rPr>
                <w:sz w:val="22"/>
              </w:rPr>
            </w:pPr>
          </w:p>
          <w:p>
            <w:pPr>
              <w:pStyle w:val="TableParagraph"/>
              <w:spacing w:before="8"/>
              <w:rPr>
                <w:sz w:val="22"/>
              </w:rPr>
            </w:pPr>
          </w:p>
          <w:p>
            <w:pPr>
              <w:pStyle w:val="TableParagraph"/>
              <w:ind w:right="95"/>
              <w:jc w:val="right"/>
              <w:rPr>
                <w:sz w:val="20"/>
              </w:rPr>
            </w:pPr>
            <w:r>
              <w:rPr>
                <w:sz w:val="20"/>
              </w:rPr>
              <w:t>6,706,725</w:t>
            </w:r>
          </w:p>
        </w:tc>
        <w:tc>
          <w:tcPr>
            <w:tcW w:w="1217" w:type="dxa"/>
          </w:tcPr>
          <w:p>
            <w:pPr>
              <w:pStyle w:val="TableParagraph"/>
              <w:rPr>
                <w:sz w:val="22"/>
              </w:rPr>
            </w:pPr>
          </w:p>
          <w:p>
            <w:pPr>
              <w:pStyle w:val="TableParagraph"/>
              <w:spacing w:before="8"/>
              <w:rPr>
                <w:sz w:val="22"/>
              </w:rPr>
            </w:pPr>
          </w:p>
          <w:p>
            <w:pPr>
              <w:pStyle w:val="TableParagraph"/>
              <w:ind w:left="198" w:right="77"/>
              <w:jc w:val="center"/>
              <w:rPr>
                <w:sz w:val="20"/>
              </w:rPr>
            </w:pPr>
            <w:r>
              <w:rPr>
                <w:sz w:val="20"/>
              </w:rPr>
              <w:t>7,042,061</w:t>
            </w:r>
          </w:p>
        </w:tc>
      </w:tr>
      <w:tr>
        <w:trPr>
          <w:trHeight w:val="1264" w:hRule="atLeast"/>
        </w:trPr>
        <w:tc>
          <w:tcPr>
            <w:tcW w:w="1225" w:type="dxa"/>
          </w:tcPr>
          <w:p>
            <w:pPr>
              <w:pStyle w:val="TableParagraph"/>
              <w:rPr>
                <w:sz w:val="22"/>
              </w:rPr>
            </w:pPr>
          </w:p>
          <w:p>
            <w:pPr>
              <w:pStyle w:val="TableParagraph"/>
              <w:spacing w:before="146"/>
              <w:ind w:left="111" w:right="83" w:firstLine="394"/>
              <w:rPr>
                <w:sz w:val="20"/>
              </w:rPr>
            </w:pPr>
            <w:r>
              <w:rPr>
                <w:sz w:val="20"/>
              </w:rPr>
              <w:t>ex 2008.20.00</w:t>
            </w:r>
          </w:p>
        </w:tc>
        <w:tc>
          <w:tcPr>
            <w:tcW w:w="1352" w:type="dxa"/>
          </w:tcPr>
          <w:p>
            <w:pPr>
              <w:pStyle w:val="TableParagraph"/>
              <w:spacing w:before="54"/>
              <w:ind w:left="107" w:right="169"/>
              <w:rPr>
                <w:sz w:val="20"/>
              </w:rPr>
            </w:pPr>
            <w:r>
              <w:rPr>
                <w:sz w:val="20"/>
              </w:rPr>
              <w:t>Pineapples, otherwise prepared or preserved, not canned.</w:t>
            </w:r>
          </w:p>
        </w:tc>
        <w:tc>
          <w:tcPr>
            <w:tcW w:w="1075" w:type="dxa"/>
          </w:tcPr>
          <w:p>
            <w:pPr>
              <w:pStyle w:val="TableParagraph"/>
              <w:rPr>
                <w:sz w:val="22"/>
              </w:rPr>
            </w:pPr>
          </w:p>
          <w:p>
            <w:pPr>
              <w:pStyle w:val="TableParagraph"/>
              <w:spacing w:before="8"/>
              <w:rPr>
                <w:sz w:val="22"/>
              </w:rPr>
            </w:pPr>
          </w:p>
          <w:p>
            <w:pPr>
              <w:pStyle w:val="TableParagraph"/>
              <w:ind w:left="89" w:right="80"/>
              <w:jc w:val="center"/>
              <w:rPr>
                <w:sz w:val="20"/>
              </w:rPr>
            </w:pPr>
            <w:r>
              <w:rPr>
                <w:sz w:val="20"/>
              </w:rPr>
              <w:t>kilograms</w:t>
            </w:r>
          </w:p>
        </w:tc>
        <w:tc>
          <w:tcPr>
            <w:tcW w:w="1217" w:type="dxa"/>
          </w:tcPr>
          <w:p>
            <w:pPr>
              <w:pStyle w:val="TableParagraph"/>
              <w:rPr>
                <w:sz w:val="22"/>
              </w:rPr>
            </w:pPr>
          </w:p>
          <w:p>
            <w:pPr>
              <w:pStyle w:val="TableParagraph"/>
              <w:spacing w:before="8"/>
              <w:rPr>
                <w:sz w:val="22"/>
              </w:rPr>
            </w:pPr>
          </w:p>
          <w:p>
            <w:pPr>
              <w:pStyle w:val="TableParagraph"/>
              <w:ind w:right="96"/>
              <w:jc w:val="right"/>
              <w:rPr>
                <w:sz w:val="20"/>
              </w:rPr>
            </w:pPr>
            <w:r>
              <w:rPr>
                <w:sz w:val="20"/>
              </w:rPr>
              <w:t>2,137,189</w:t>
            </w:r>
          </w:p>
        </w:tc>
        <w:tc>
          <w:tcPr>
            <w:tcW w:w="1218" w:type="dxa"/>
          </w:tcPr>
          <w:p>
            <w:pPr>
              <w:pStyle w:val="TableParagraph"/>
              <w:rPr>
                <w:sz w:val="22"/>
              </w:rPr>
            </w:pPr>
          </w:p>
          <w:p>
            <w:pPr>
              <w:pStyle w:val="TableParagraph"/>
              <w:spacing w:before="8"/>
              <w:rPr>
                <w:sz w:val="22"/>
              </w:rPr>
            </w:pPr>
          </w:p>
          <w:p>
            <w:pPr>
              <w:pStyle w:val="TableParagraph"/>
              <w:ind w:right="97"/>
              <w:jc w:val="right"/>
              <w:rPr>
                <w:sz w:val="20"/>
              </w:rPr>
            </w:pPr>
            <w:r>
              <w:rPr>
                <w:sz w:val="20"/>
              </w:rPr>
              <w:t>2,244,048</w:t>
            </w:r>
          </w:p>
        </w:tc>
        <w:tc>
          <w:tcPr>
            <w:tcW w:w="1218" w:type="dxa"/>
          </w:tcPr>
          <w:p>
            <w:pPr>
              <w:pStyle w:val="TableParagraph"/>
              <w:rPr>
                <w:sz w:val="22"/>
              </w:rPr>
            </w:pPr>
          </w:p>
          <w:p>
            <w:pPr>
              <w:pStyle w:val="TableParagraph"/>
              <w:spacing w:before="8"/>
              <w:rPr>
                <w:sz w:val="22"/>
              </w:rPr>
            </w:pPr>
          </w:p>
          <w:p>
            <w:pPr>
              <w:pStyle w:val="TableParagraph"/>
              <w:ind w:right="95"/>
              <w:jc w:val="right"/>
              <w:rPr>
                <w:sz w:val="20"/>
              </w:rPr>
            </w:pPr>
            <w:r>
              <w:rPr>
                <w:sz w:val="20"/>
              </w:rPr>
              <w:t>2,356,251</w:t>
            </w:r>
          </w:p>
        </w:tc>
        <w:tc>
          <w:tcPr>
            <w:tcW w:w="1217" w:type="dxa"/>
          </w:tcPr>
          <w:p>
            <w:pPr>
              <w:pStyle w:val="TableParagraph"/>
              <w:rPr>
                <w:sz w:val="22"/>
              </w:rPr>
            </w:pPr>
          </w:p>
          <w:p>
            <w:pPr>
              <w:pStyle w:val="TableParagraph"/>
              <w:spacing w:before="8"/>
              <w:rPr>
                <w:sz w:val="22"/>
              </w:rPr>
            </w:pPr>
          </w:p>
          <w:p>
            <w:pPr>
              <w:pStyle w:val="TableParagraph"/>
              <w:ind w:left="198" w:right="78"/>
              <w:jc w:val="center"/>
              <w:rPr>
                <w:sz w:val="20"/>
              </w:rPr>
            </w:pPr>
            <w:r>
              <w:rPr>
                <w:sz w:val="20"/>
              </w:rPr>
              <w:t>2,474,063</w:t>
            </w:r>
          </w:p>
        </w:tc>
      </w:tr>
      <w:tr>
        <w:trPr>
          <w:trHeight w:val="1493" w:hRule="atLeast"/>
        </w:trPr>
        <w:tc>
          <w:tcPr>
            <w:tcW w:w="1225" w:type="dxa"/>
          </w:tcPr>
          <w:p>
            <w:pPr>
              <w:pStyle w:val="TableParagraph"/>
              <w:rPr>
                <w:sz w:val="22"/>
              </w:rPr>
            </w:pPr>
          </w:p>
          <w:p>
            <w:pPr>
              <w:pStyle w:val="TableParagraph"/>
              <w:spacing w:before="146"/>
              <w:ind w:left="91" w:right="82"/>
              <w:jc w:val="center"/>
              <w:rPr>
                <w:sz w:val="20"/>
              </w:rPr>
            </w:pPr>
            <w:r>
              <w:rPr>
                <w:sz w:val="20"/>
              </w:rPr>
              <w:t>2009.41.00</w:t>
            </w:r>
          </w:p>
          <w:p>
            <w:pPr>
              <w:pStyle w:val="TableParagraph"/>
              <w:ind w:left="91" w:right="79"/>
              <w:jc w:val="center"/>
              <w:rPr>
                <w:sz w:val="20"/>
              </w:rPr>
            </w:pPr>
            <w:r>
              <w:rPr>
                <w:sz w:val="20"/>
              </w:rPr>
              <w:t>and </w:t>
            </w:r>
            <w:r>
              <w:rPr>
                <w:spacing w:val="-1"/>
                <w:sz w:val="20"/>
              </w:rPr>
              <w:t>2009.49.00</w:t>
            </w:r>
          </w:p>
        </w:tc>
        <w:tc>
          <w:tcPr>
            <w:tcW w:w="1352" w:type="dxa"/>
          </w:tcPr>
          <w:p>
            <w:pPr>
              <w:pStyle w:val="TableParagraph"/>
              <w:spacing w:before="54"/>
              <w:ind w:left="107" w:right="92"/>
              <w:rPr>
                <w:sz w:val="20"/>
              </w:rPr>
            </w:pPr>
            <w:r>
              <w:rPr>
                <w:sz w:val="20"/>
              </w:rPr>
              <w:t>Pineapple juice, unfermented and not containing added spirit.</w:t>
            </w:r>
          </w:p>
        </w:tc>
        <w:tc>
          <w:tcPr>
            <w:tcW w:w="1075" w:type="dxa"/>
          </w:tcPr>
          <w:p>
            <w:pPr>
              <w:pStyle w:val="TableParagraph"/>
              <w:rPr>
                <w:sz w:val="22"/>
              </w:rPr>
            </w:pPr>
          </w:p>
          <w:p>
            <w:pPr>
              <w:pStyle w:val="TableParagraph"/>
              <w:spacing w:before="8"/>
              <w:rPr>
                <w:sz w:val="32"/>
              </w:rPr>
            </w:pPr>
          </w:p>
          <w:p>
            <w:pPr>
              <w:pStyle w:val="TableParagraph"/>
              <w:ind w:left="89" w:right="80"/>
              <w:jc w:val="center"/>
              <w:rPr>
                <w:sz w:val="20"/>
              </w:rPr>
            </w:pPr>
            <w:r>
              <w:rPr>
                <w:sz w:val="20"/>
              </w:rPr>
              <w:t>litres</w:t>
            </w:r>
          </w:p>
        </w:tc>
        <w:tc>
          <w:tcPr>
            <w:tcW w:w="1217" w:type="dxa"/>
          </w:tcPr>
          <w:p>
            <w:pPr>
              <w:pStyle w:val="TableParagraph"/>
              <w:rPr>
                <w:sz w:val="22"/>
              </w:rPr>
            </w:pPr>
          </w:p>
          <w:p>
            <w:pPr>
              <w:pStyle w:val="TableParagraph"/>
              <w:spacing w:before="8"/>
              <w:rPr>
                <w:sz w:val="32"/>
              </w:rPr>
            </w:pPr>
          </w:p>
          <w:p>
            <w:pPr>
              <w:pStyle w:val="TableParagraph"/>
              <w:ind w:right="95"/>
              <w:jc w:val="right"/>
              <w:rPr>
                <w:sz w:val="20"/>
              </w:rPr>
            </w:pPr>
            <w:r>
              <w:rPr>
                <w:sz w:val="20"/>
              </w:rPr>
              <w:t>2,080,116</w:t>
            </w:r>
          </w:p>
        </w:tc>
        <w:tc>
          <w:tcPr>
            <w:tcW w:w="1218" w:type="dxa"/>
          </w:tcPr>
          <w:p>
            <w:pPr>
              <w:pStyle w:val="TableParagraph"/>
              <w:rPr>
                <w:sz w:val="22"/>
              </w:rPr>
            </w:pPr>
          </w:p>
          <w:p>
            <w:pPr>
              <w:pStyle w:val="TableParagraph"/>
              <w:spacing w:before="8"/>
              <w:rPr>
                <w:sz w:val="32"/>
              </w:rPr>
            </w:pPr>
          </w:p>
          <w:p>
            <w:pPr>
              <w:pStyle w:val="TableParagraph"/>
              <w:ind w:right="98"/>
              <w:jc w:val="right"/>
              <w:rPr>
                <w:sz w:val="20"/>
              </w:rPr>
            </w:pPr>
            <w:r>
              <w:rPr>
                <w:sz w:val="20"/>
              </w:rPr>
              <w:t>2,184,122</w:t>
            </w:r>
          </w:p>
        </w:tc>
        <w:tc>
          <w:tcPr>
            <w:tcW w:w="1218" w:type="dxa"/>
          </w:tcPr>
          <w:p>
            <w:pPr>
              <w:pStyle w:val="TableParagraph"/>
              <w:rPr>
                <w:sz w:val="22"/>
              </w:rPr>
            </w:pPr>
          </w:p>
          <w:p>
            <w:pPr>
              <w:pStyle w:val="TableParagraph"/>
              <w:spacing w:before="8"/>
              <w:rPr>
                <w:sz w:val="32"/>
              </w:rPr>
            </w:pPr>
          </w:p>
          <w:p>
            <w:pPr>
              <w:pStyle w:val="TableParagraph"/>
              <w:ind w:right="95"/>
              <w:jc w:val="right"/>
              <w:rPr>
                <w:sz w:val="20"/>
              </w:rPr>
            </w:pPr>
            <w:r>
              <w:rPr>
                <w:sz w:val="20"/>
              </w:rPr>
              <w:t>2,293,328</w:t>
            </w:r>
          </w:p>
        </w:tc>
        <w:tc>
          <w:tcPr>
            <w:tcW w:w="1217" w:type="dxa"/>
          </w:tcPr>
          <w:p>
            <w:pPr>
              <w:pStyle w:val="TableParagraph"/>
              <w:rPr>
                <w:sz w:val="22"/>
              </w:rPr>
            </w:pPr>
          </w:p>
          <w:p>
            <w:pPr>
              <w:pStyle w:val="TableParagraph"/>
              <w:spacing w:before="8"/>
              <w:rPr>
                <w:sz w:val="32"/>
              </w:rPr>
            </w:pPr>
          </w:p>
          <w:p>
            <w:pPr>
              <w:pStyle w:val="TableParagraph"/>
              <w:ind w:left="198" w:right="77"/>
              <w:jc w:val="center"/>
              <w:rPr>
                <w:sz w:val="20"/>
              </w:rPr>
            </w:pPr>
            <w:r>
              <w:rPr>
                <w:sz w:val="20"/>
              </w:rPr>
              <w:t>2,407,994</w:t>
            </w:r>
          </w:p>
        </w:tc>
      </w:tr>
    </w:tbl>
    <w:p>
      <w:pPr>
        <w:pStyle w:val="BodyText"/>
        <w:rPr>
          <w:sz w:val="22"/>
        </w:rPr>
      </w:pPr>
    </w:p>
    <w:p>
      <w:pPr>
        <w:pStyle w:val="BodyText"/>
        <w:spacing w:before="7"/>
        <w:rPr>
          <w:sz w:val="18"/>
        </w:rPr>
      </w:pPr>
    </w:p>
    <w:p>
      <w:pPr>
        <w:pStyle w:val="BodyText"/>
        <w:ind w:left="1799" w:right="1952"/>
      </w:pPr>
      <w:r>
        <w:rPr/>
        <w:t>The Minister for Agriculture, Fisheries and Forestry will be responsible for deciding whether to impose special safeguards. If the Minister decides to impose special safeguards, that decision will be published in the </w:t>
      </w:r>
      <w:r>
        <w:rPr>
          <w:i/>
        </w:rPr>
        <w:t>Government Notices Gazette</w:t>
      </w:r>
      <w:r>
        <w:rPr/>
        <w:t>. The general duty rate would then apply to safeguard goods imported on and from the day after the gazettal day until the end of the calendar year.</w:t>
      </w:r>
    </w:p>
    <w:p>
      <w:pPr>
        <w:pStyle w:val="BodyText"/>
        <w:spacing w:before="10"/>
      </w:pPr>
    </w:p>
    <w:p>
      <w:pPr>
        <w:pStyle w:val="BodyText"/>
        <w:ind w:left="1800"/>
      </w:pPr>
      <w:r>
        <w:rPr/>
        <w:t>The preferential rate will, however, continue to apply to:</w:t>
      </w:r>
    </w:p>
    <w:p>
      <w:pPr>
        <w:pStyle w:val="ListParagraph"/>
        <w:numPr>
          <w:ilvl w:val="0"/>
          <w:numId w:val="1"/>
        </w:numPr>
        <w:tabs>
          <w:tab w:pos="2699" w:val="left" w:leader="none"/>
          <w:tab w:pos="2701" w:val="left" w:leader="none"/>
        </w:tabs>
        <w:spacing w:line="240" w:lineRule="auto" w:before="120" w:after="0"/>
        <w:ind w:left="2700" w:right="1951" w:hanging="540"/>
        <w:jc w:val="left"/>
        <w:rPr>
          <w:sz w:val="20"/>
        </w:rPr>
      </w:pPr>
      <w:r>
        <w:rPr>
          <w:sz w:val="20"/>
        </w:rPr>
        <w:t>goods</w:t>
      </w:r>
      <w:r>
        <w:rPr>
          <w:spacing w:val="-4"/>
          <w:sz w:val="20"/>
        </w:rPr>
        <w:t> </w:t>
      </w:r>
      <w:r>
        <w:rPr>
          <w:sz w:val="20"/>
        </w:rPr>
        <w:t>that</w:t>
      </w:r>
      <w:r>
        <w:rPr>
          <w:spacing w:val="-4"/>
          <w:sz w:val="20"/>
        </w:rPr>
        <w:t> </w:t>
      </w:r>
      <w:r>
        <w:rPr>
          <w:sz w:val="20"/>
        </w:rPr>
        <w:t>had</w:t>
      </w:r>
      <w:r>
        <w:rPr>
          <w:spacing w:val="-3"/>
          <w:sz w:val="20"/>
        </w:rPr>
        <w:t> </w:t>
      </w:r>
      <w:r>
        <w:rPr>
          <w:sz w:val="20"/>
        </w:rPr>
        <w:t>been</w:t>
      </w:r>
      <w:r>
        <w:rPr>
          <w:spacing w:val="-4"/>
          <w:sz w:val="20"/>
        </w:rPr>
        <w:t> </w:t>
      </w:r>
      <w:r>
        <w:rPr>
          <w:sz w:val="20"/>
        </w:rPr>
        <w:t>imported</w:t>
      </w:r>
      <w:r>
        <w:rPr>
          <w:spacing w:val="-3"/>
          <w:sz w:val="20"/>
        </w:rPr>
        <w:t> </w:t>
      </w:r>
      <w:r>
        <w:rPr>
          <w:sz w:val="20"/>
        </w:rPr>
        <w:t>on</w:t>
      </w:r>
      <w:r>
        <w:rPr>
          <w:spacing w:val="-4"/>
          <w:sz w:val="20"/>
        </w:rPr>
        <w:t> </w:t>
      </w:r>
      <w:r>
        <w:rPr>
          <w:sz w:val="20"/>
        </w:rPr>
        <w:t>or</w:t>
      </w:r>
      <w:r>
        <w:rPr>
          <w:spacing w:val="-4"/>
          <w:sz w:val="20"/>
        </w:rPr>
        <w:t> </w:t>
      </w:r>
      <w:r>
        <w:rPr>
          <w:sz w:val="20"/>
        </w:rPr>
        <w:t>before</w:t>
      </w:r>
      <w:r>
        <w:rPr>
          <w:spacing w:val="-3"/>
          <w:sz w:val="20"/>
        </w:rPr>
        <w:t> </w:t>
      </w:r>
      <w:r>
        <w:rPr>
          <w:sz w:val="20"/>
        </w:rPr>
        <w:t>the</w:t>
      </w:r>
      <w:r>
        <w:rPr>
          <w:spacing w:val="-4"/>
          <w:sz w:val="20"/>
        </w:rPr>
        <w:t> </w:t>
      </w:r>
      <w:r>
        <w:rPr>
          <w:sz w:val="20"/>
        </w:rPr>
        <w:t>gazettal</w:t>
      </w:r>
      <w:r>
        <w:rPr>
          <w:spacing w:val="-3"/>
          <w:sz w:val="20"/>
        </w:rPr>
        <w:t> </w:t>
      </w:r>
      <w:r>
        <w:rPr>
          <w:sz w:val="20"/>
        </w:rPr>
        <w:t>day,</w:t>
      </w:r>
      <w:r>
        <w:rPr>
          <w:spacing w:val="-4"/>
          <w:sz w:val="20"/>
        </w:rPr>
        <w:t> </w:t>
      </w:r>
      <w:r>
        <w:rPr>
          <w:sz w:val="20"/>
        </w:rPr>
        <w:t>but</w:t>
      </w:r>
      <w:r>
        <w:rPr>
          <w:spacing w:val="-4"/>
          <w:sz w:val="20"/>
        </w:rPr>
        <w:t> </w:t>
      </w:r>
      <w:r>
        <w:rPr>
          <w:sz w:val="20"/>
        </w:rPr>
        <w:t>that</w:t>
      </w:r>
      <w:r>
        <w:rPr>
          <w:spacing w:val="-3"/>
          <w:sz w:val="20"/>
        </w:rPr>
        <w:t> </w:t>
      </w:r>
      <w:r>
        <w:rPr>
          <w:sz w:val="20"/>
        </w:rPr>
        <w:t>had</w:t>
      </w:r>
      <w:r>
        <w:rPr>
          <w:spacing w:val="-4"/>
          <w:sz w:val="20"/>
        </w:rPr>
        <w:t> </w:t>
      </w:r>
      <w:r>
        <w:rPr>
          <w:sz w:val="20"/>
        </w:rPr>
        <w:t>yet</w:t>
      </w:r>
      <w:r>
        <w:rPr>
          <w:spacing w:val="-3"/>
          <w:sz w:val="20"/>
        </w:rPr>
        <w:t> </w:t>
      </w:r>
      <w:r>
        <w:rPr>
          <w:sz w:val="20"/>
        </w:rPr>
        <w:t>to</w:t>
      </w:r>
      <w:r>
        <w:rPr>
          <w:spacing w:val="-4"/>
          <w:sz w:val="20"/>
        </w:rPr>
        <w:t> </w:t>
      </w:r>
      <w:r>
        <w:rPr>
          <w:sz w:val="20"/>
        </w:rPr>
        <w:t>be entered for home consumption;</w:t>
      </w:r>
      <w:r>
        <w:rPr>
          <w:spacing w:val="-5"/>
          <w:sz w:val="20"/>
        </w:rPr>
        <w:t> </w:t>
      </w:r>
      <w:r>
        <w:rPr>
          <w:sz w:val="20"/>
        </w:rPr>
        <w:t>and</w:t>
      </w:r>
    </w:p>
    <w:p>
      <w:pPr>
        <w:pStyle w:val="ListParagraph"/>
        <w:numPr>
          <w:ilvl w:val="0"/>
          <w:numId w:val="1"/>
        </w:numPr>
        <w:tabs>
          <w:tab w:pos="2700" w:val="left" w:leader="none"/>
          <w:tab w:pos="2701" w:val="left" w:leader="none"/>
        </w:tabs>
        <w:spacing w:line="240" w:lineRule="auto" w:before="120" w:after="0"/>
        <w:ind w:left="2700" w:right="1915" w:hanging="540"/>
        <w:jc w:val="left"/>
        <w:rPr>
          <w:sz w:val="20"/>
        </w:rPr>
      </w:pPr>
      <w:r>
        <w:rPr>
          <w:sz w:val="20"/>
        </w:rPr>
        <w:t>goods that had been exported on or before the gazettal day under a contract settled</w:t>
      </w:r>
      <w:r>
        <w:rPr>
          <w:spacing w:val="-5"/>
          <w:sz w:val="20"/>
        </w:rPr>
        <w:t> </w:t>
      </w:r>
      <w:r>
        <w:rPr>
          <w:sz w:val="20"/>
        </w:rPr>
        <w:t>on</w:t>
      </w:r>
      <w:r>
        <w:rPr>
          <w:spacing w:val="-4"/>
          <w:sz w:val="20"/>
        </w:rPr>
        <w:t> </w:t>
      </w:r>
      <w:r>
        <w:rPr>
          <w:sz w:val="20"/>
        </w:rPr>
        <w:t>or</w:t>
      </w:r>
      <w:r>
        <w:rPr>
          <w:spacing w:val="-3"/>
          <w:sz w:val="20"/>
        </w:rPr>
        <w:t> </w:t>
      </w:r>
      <w:r>
        <w:rPr>
          <w:sz w:val="20"/>
        </w:rPr>
        <w:t>before</w:t>
      </w:r>
      <w:r>
        <w:rPr>
          <w:spacing w:val="-4"/>
          <w:sz w:val="20"/>
        </w:rPr>
        <w:t> </w:t>
      </w:r>
      <w:r>
        <w:rPr>
          <w:sz w:val="20"/>
        </w:rPr>
        <w:t>that</w:t>
      </w:r>
      <w:r>
        <w:rPr>
          <w:spacing w:val="-4"/>
          <w:sz w:val="20"/>
        </w:rPr>
        <w:t> </w:t>
      </w:r>
      <w:r>
        <w:rPr>
          <w:sz w:val="20"/>
        </w:rPr>
        <w:t>day,</w:t>
      </w:r>
      <w:r>
        <w:rPr>
          <w:spacing w:val="-4"/>
          <w:sz w:val="20"/>
        </w:rPr>
        <w:t> </w:t>
      </w:r>
      <w:r>
        <w:rPr>
          <w:sz w:val="20"/>
        </w:rPr>
        <w:t>but</w:t>
      </w:r>
      <w:r>
        <w:rPr>
          <w:spacing w:val="-5"/>
          <w:sz w:val="20"/>
        </w:rPr>
        <w:t> </w:t>
      </w:r>
      <w:r>
        <w:rPr>
          <w:sz w:val="20"/>
        </w:rPr>
        <w:t>that</w:t>
      </w:r>
      <w:r>
        <w:rPr>
          <w:spacing w:val="-4"/>
          <w:sz w:val="20"/>
        </w:rPr>
        <w:t> </w:t>
      </w:r>
      <w:r>
        <w:rPr>
          <w:sz w:val="20"/>
        </w:rPr>
        <w:t>had</w:t>
      </w:r>
      <w:r>
        <w:rPr>
          <w:spacing w:val="-3"/>
          <w:sz w:val="20"/>
        </w:rPr>
        <w:t> </w:t>
      </w:r>
      <w:r>
        <w:rPr>
          <w:sz w:val="20"/>
        </w:rPr>
        <w:t>yet</w:t>
      </w:r>
      <w:r>
        <w:rPr>
          <w:spacing w:val="-4"/>
          <w:sz w:val="20"/>
        </w:rPr>
        <w:t> </w:t>
      </w:r>
      <w:r>
        <w:rPr>
          <w:sz w:val="20"/>
        </w:rPr>
        <w:t>to</w:t>
      </w:r>
      <w:r>
        <w:rPr>
          <w:spacing w:val="-4"/>
          <w:sz w:val="20"/>
        </w:rPr>
        <w:t> </w:t>
      </w:r>
      <w:r>
        <w:rPr>
          <w:sz w:val="20"/>
        </w:rPr>
        <w:t>be</w:t>
      </w:r>
      <w:r>
        <w:rPr>
          <w:spacing w:val="-4"/>
          <w:sz w:val="20"/>
        </w:rPr>
        <w:t> </w:t>
      </w:r>
      <w:r>
        <w:rPr>
          <w:sz w:val="20"/>
        </w:rPr>
        <w:t>imported</w:t>
      </w:r>
      <w:r>
        <w:rPr>
          <w:spacing w:val="-4"/>
          <w:sz w:val="20"/>
        </w:rPr>
        <w:t> </w:t>
      </w:r>
      <w:r>
        <w:rPr>
          <w:sz w:val="20"/>
        </w:rPr>
        <w:t>(in-transit</w:t>
      </w:r>
      <w:r>
        <w:rPr>
          <w:spacing w:val="-5"/>
          <w:sz w:val="20"/>
        </w:rPr>
        <w:t> </w:t>
      </w:r>
      <w:r>
        <w:rPr>
          <w:sz w:val="20"/>
        </w:rPr>
        <w:t>provisions).</w:t>
      </w:r>
    </w:p>
    <w:p>
      <w:pPr>
        <w:pStyle w:val="BodyText"/>
        <w:spacing w:before="11"/>
      </w:pPr>
    </w:p>
    <w:p>
      <w:pPr>
        <w:pStyle w:val="BodyText"/>
        <w:ind w:left="1800" w:right="1952"/>
      </w:pPr>
      <w:r>
        <w:rPr/>
        <w:t>However, the quantity of safeguard goods set out in (b) above must be counted towards the quantity applicable for the next calendar year in relation to the same type of goods. To enable those goods to be identified for this purpose, preference indicator “I” must be input in the preference indicator field on import entry lines for those goods.</w:t>
      </w:r>
    </w:p>
    <w:p>
      <w:pPr>
        <w:spacing w:after="0"/>
        <w:sectPr>
          <w:headerReference w:type="default" r:id="rId7"/>
          <w:pgSz w:w="11900" w:h="16840"/>
          <w:pgMar w:header="714" w:footer="0" w:top="920" w:bottom="280" w:left="0" w:right="0"/>
          <w:pgNumType w:start="2"/>
        </w:sectPr>
      </w:pPr>
    </w:p>
    <w:p>
      <w:pPr>
        <w:pStyle w:val="BodyText"/>
      </w:pPr>
    </w:p>
    <w:p>
      <w:pPr>
        <w:pStyle w:val="BodyText"/>
        <w:spacing w:before="6"/>
        <w:rPr>
          <w:sz w:val="23"/>
        </w:rPr>
      </w:pPr>
    </w:p>
    <w:p>
      <w:pPr>
        <w:pStyle w:val="BodyText"/>
        <w:ind w:left="1799" w:right="1796"/>
      </w:pPr>
      <w:r>
        <w:rPr/>
        <w:t>For more information on the administration of special safeguards under TAFTA and to</w:t>
      </w:r>
      <w:r>
        <w:rPr>
          <w:spacing w:val="-23"/>
        </w:rPr>
        <w:t> </w:t>
      </w:r>
      <w:r>
        <w:rPr/>
        <w:t>register as an importer of safeguard goods, please refer to the following website: </w:t>
      </w:r>
      <w:hyperlink r:id="rId8">
        <w:r>
          <w:rPr>
            <w:color w:val="0000FF"/>
            <w:u w:val="single" w:color="0000FF"/>
          </w:rPr>
          <w:t>www.daff.gov.au/FTA</w:t>
        </w:r>
      </w:hyperlink>
    </w:p>
    <w:p>
      <w:pPr>
        <w:pStyle w:val="BodyText"/>
        <w:spacing w:before="1"/>
        <w:rPr>
          <w:sz w:val="12"/>
        </w:rPr>
      </w:pPr>
    </w:p>
    <w:p>
      <w:pPr>
        <w:pStyle w:val="Heading1"/>
        <w:spacing w:before="94"/>
      </w:pPr>
      <w:r>
        <w:rPr/>
        <w:t>Other duties and taxes</w:t>
      </w:r>
    </w:p>
    <w:p>
      <w:pPr>
        <w:pStyle w:val="BodyText"/>
        <w:spacing w:before="9"/>
        <w:rPr>
          <w:rFonts w:ascii="Arial-BoldItalicMT"/>
          <w:b/>
          <w:i/>
          <w:sz w:val="19"/>
        </w:rPr>
      </w:pPr>
    </w:p>
    <w:p>
      <w:pPr>
        <w:pStyle w:val="BodyText"/>
        <w:ind w:left="1800" w:right="2109"/>
      </w:pPr>
      <w:r>
        <w:rPr/>
        <w:t>While Thai originating goods will be eligible for preferential rates of duty, excise-equivalent duties, goods and services tax, dumping duties and other taxes and levies, including cost recovery charges, if relevant, will still be payable.</w:t>
      </w:r>
    </w:p>
    <w:p>
      <w:pPr>
        <w:pStyle w:val="BodyText"/>
        <w:spacing w:before="3"/>
      </w:pPr>
    </w:p>
    <w:p>
      <w:pPr>
        <w:pStyle w:val="Heading1"/>
      </w:pPr>
      <w:r>
        <w:rPr/>
        <w:t>Tariff Reprint Pages</w:t>
      </w:r>
    </w:p>
    <w:p>
      <w:pPr>
        <w:pStyle w:val="BodyText"/>
        <w:spacing w:before="8"/>
        <w:rPr>
          <w:rFonts w:ascii="Arial-BoldItalicMT"/>
          <w:b/>
          <w:i/>
          <w:sz w:val="19"/>
        </w:rPr>
      </w:pPr>
    </w:p>
    <w:p>
      <w:pPr>
        <w:pStyle w:val="BodyText"/>
        <w:spacing w:before="1"/>
        <w:ind w:left="1800" w:right="1749"/>
      </w:pPr>
      <w:r>
        <w:rPr/>
        <w:t>Tariff reprint pages relevant to the above amendments will be issued progressively as other changes are made. Those pages containing the </w:t>
      </w:r>
      <w:r>
        <w:rPr>
          <w:i/>
        </w:rPr>
        <w:t>Customs Tariff Act 1995 </w:t>
      </w:r>
      <w:r>
        <w:rPr/>
        <w:t>and Schedule 6 (Thailand Originating Goods) will be issued as soon as possible.</w:t>
      </w:r>
    </w:p>
    <w:p>
      <w:pPr>
        <w:pStyle w:val="BodyText"/>
        <w:ind w:left="1800"/>
      </w:pPr>
      <w:r>
        <w:rPr/>
        <w:t>Enquiries concerning this notice may be directed to:</w:t>
      </w:r>
    </w:p>
    <w:p>
      <w:pPr>
        <w:pStyle w:val="BodyText"/>
        <w:spacing w:before="11"/>
        <w:rPr>
          <w:sz w:val="19"/>
        </w:rPr>
      </w:pPr>
    </w:p>
    <w:p>
      <w:pPr>
        <w:pStyle w:val="BodyText"/>
        <w:ind w:left="3959"/>
      </w:pPr>
      <w:r>
        <w:rPr/>
        <w:t>Manager</w:t>
      </w:r>
    </w:p>
    <w:p>
      <w:pPr>
        <w:pStyle w:val="BodyText"/>
        <w:ind w:left="3960" w:right="4763"/>
      </w:pPr>
      <w:r>
        <w:rPr/>
        <w:t>Tariff Legislation &amp; External Review Australian Customs Service</w:t>
      </w:r>
    </w:p>
    <w:p>
      <w:pPr>
        <w:pStyle w:val="BodyText"/>
        <w:spacing w:line="230" w:lineRule="exact"/>
        <w:ind w:left="3960"/>
      </w:pPr>
      <w:r>
        <w:rPr/>
        <w:t>5 Constitution Avenue</w:t>
      </w:r>
    </w:p>
    <w:p>
      <w:pPr>
        <w:pStyle w:val="BodyText"/>
        <w:spacing w:line="230" w:lineRule="exact" w:before="1"/>
        <w:ind w:left="3960"/>
      </w:pPr>
      <w:r>
        <w:rPr/>
        <w:t>CANBERRA ACT</w:t>
      </w:r>
      <w:r>
        <w:rPr>
          <w:spacing w:val="53"/>
        </w:rPr>
        <w:t> </w:t>
      </w:r>
      <w:r>
        <w:rPr/>
        <w:t>2601</w:t>
      </w:r>
    </w:p>
    <w:p>
      <w:pPr>
        <w:pStyle w:val="BodyText"/>
        <w:spacing w:line="230" w:lineRule="exact"/>
        <w:ind w:left="3960"/>
      </w:pPr>
      <w:r>
        <w:rPr/>
        <w:t>Ph: 02 6275 6486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BodyText"/>
        <w:ind w:left="1800"/>
      </w:pPr>
      <w:r>
        <w:rPr/>
        <w:t>John Arndell</w:t>
      </w:r>
    </w:p>
    <w:p>
      <w:pPr>
        <w:pStyle w:val="BodyText"/>
        <w:ind w:left="1800" w:right="7889"/>
      </w:pPr>
      <w:r>
        <w:rPr/>
        <w:t>Acting National Manager Trade</w:t>
      </w:r>
    </w:p>
    <w:p>
      <w:pPr>
        <w:pStyle w:val="BodyText"/>
        <w:spacing w:line="229" w:lineRule="exact"/>
        <w:ind w:left="1800"/>
      </w:pPr>
      <w:r>
        <w:rPr/>
        <w:t>CANBERRA</w:t>
      </w:r>
      <w:r>
        <w:rPr>
          <w:spacing w:val="54"/>
        </w:rPr>
        <w:t> </w:t>
      </w:r>
      <w:r>
        <w:rPr/>
        <w:t>ACT</w:t>
      </w:r>
    </w:p>
    <w:p>
      <w:pPr>
        <w:pStyle w:val="BodyText"/>
        <w:spacing w:line="230" w:lineRule="exact"/>
        <w:ind w:left="1800"/>
      </w:pPr>
      <w:r>
        <w:rPr/>
        <w:t>for</w:t>
      </w:r>
    </w:p>
    <w:p>
      <w:pPr>
        <w:pStyle w:val="BodyText"/>
        <w:spacing w:line="480" w:lineRule="auto" w:before="1"/>
        <w:ind w:left="2354" w:right="8046" w:hanging="555"/>
      </w:pPr>
      <w:r>
        <w:rPr/>
        <w:t>Chief Executive Officer December 2004</w:t>
      </w:r>
    </w:p>
    <w:sectPr>
      <w:pgSz w:w="11900" w:h="16840"/>
      <w:pgMar w:header="714" w:footer="0" w:top="9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2.140472pt;margin-top:34.710644pt;width:11.05pt;height:13.1pt;mso-position-horizontal-relative:page;mso-position-vertical-relative:page;z-index:-15880192" type="#_x0000_t202" filled="false" stroked="false">
          <v:textbox inset="0,0,0,0">
            <w:txbxContent>
              <w:p>
                <w:pPr>
                  <w:pStyle w:val="BodyText"/>
                  <w:spacing w:before="12"/>
                  <w:ind w:left="60"/>
                  <w:rPr>
                    <w:rFonts w:ascii="Times New Roman"/>
                  </w:rPr>
                </w:pPr>
                <w:r>
                  <w:rPr/>
                  <w:fldChar w:fldCharType="begin"/>
                </w:r>
                <w:r>
                  <w:rPr>
                    <w:rFonts w:ascii="Times New Roman"/>
                    <w:w w:val="10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2700" w:hanging="541"/>
        <w:jc w:val="left"/>
      </w:pPr>
      <w:rPr>
        <w:rFonts w:hint="default" w:ascii="Arial" w:hAnsi="Arial" w:eastAsia="Arial" w:cs="Arial"/>
        <w:spacing w:val="-1"/>
        <w:w w:val="100"/>
        <w:sz w:val="20"/>
        <w:szCs w:val="20"/>
      </w:rPr>
    </w:lvl>
    <w:lvl w:ilvl="1">
      <w:start w:val="0"/>
      <w:numFmt w:val="bullet"/>
      <w:lvlText w:val="•"/>
      <w:lvlJc w:val="left"/>
      <w:pPr>
        <w:ind w:left="4120" w:hanging="541"/>
      </w:pPr>
      <w:rPr>
        <w:rFonts w:hint="default"/>
      </w:rPr>
    </w:lvl>
    <w:lvl w:ilvl="2">
      <w:start w:val="0"/>
      <w:numFmt w:val="bullet"/>
      <w:lvlText w:val="•"/>
      <w:lvlJc w:val="left"/>
      <w:pPr>
        <w:ind w:left="4984" w:hanging="541"/>
      </w:pPr>
      <w:rPr>
        <w:rFonts w:hint="default"/>
      </w:rPr>
    </w:lvl>
    <w:lvl w:ilvl="3">
      <w:start w:val="0"/>
      <w:numFmt w:val="bullet"/>
      <w:lvlText w:val="•"/>
      <w:lvlJc w:val="left"/>
      <w:pPr>
        <w:ind w:left="5848" w:hanging="541"/>
      </w:pPr>
      <w:rPr>
        <w:rFonts w:hint="default"/>
      </w:rPr>
    </w:lvl>
    <w:lvl w:ilvl="4">
      <w:start w:val="0"/>
      <w:numFmt w:val="bullet"/>
      <w:lvlText w:val="•"/>
      <w:lvlJc w:val="left"/>
      <w:pPr>
        <w:ind w:left="6713" w:hanging="541"/>
      </w:pPr>
      <w:rPr>
        <w:rFonts w:hint="default"/>
      </w:rPr>
    </w:lvl>
    <w:lvl w:ilvl="5">
      <w:start w:val="0"/>
      <w:numFmt w:val="bullet"/>
      <w:lvlText w:val="•"/>
      <w:lvlJc w:val="left"/>
      <w:pPr>
        <w:ind w:left="7577" w:hanging="541"/>
      </w:pPr>
      <w:rPr>
        <w:rFonts w:hint="default"/>
      </w:rPr>
    </w:lvl>
    <w:lvl w:ilvl="6">
      <w:start w:val="0"/>
      <w:numFmt w:val="bullet"/>
      <w:lvlText w:val="•"/>
      <w:lvlJc w:val="left"/>
      <w:pPr>
        <w:ind w:left="8442" w:hanging="541"/>
      </w:pPr>
      <w:rPr>
        <w:rFonts w:hint="default"/>
      </w:rPr>
    </w:lvl>
    <w:lvl w:ilvl="7">
      <w:start w:val="0"/>
      <w:numFmt w:val="bullet"/>
      <w:lvlText w:val="•"/>
      <w:lvlJc w:val="left"/>
      <w:pPr>
        <w:ind w:left="9306" w:hanging="541"/>
      </w:pPr>
      <w:rPr>
        <w:rFonts w:hint="default"/>
      </w:rPr>
    </w:lvl>
    <w:lvl w:ilvl="8">
      <w:start w:val="0"/>
      <w:numFmt w:val="bullet"/>
      <w:lvlText w:val="•"/>
      <w:lvlJc w:val="left"/>
      <w:pPr>
        <w:ind w:left="10171" w:hanging="54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800"/>
      <w:outlineLvl w:val="1"/>
    </w:pPr>
    <w:rPr>
      <w:rFonts w:ascii="Arial-BoldItalicMT" w:hAnsi="Arial-BoldItalicMT" w:eastAsia="Arial-BoldItalicMT" w:cs="Arial-BoldItalicMT"/>
      <w:b/>
      <w:bCs/>
      <w:i/>
      <w:sz w:val="20"/>
      <w:szCs w:val="20"/>
    </w:rPr>
  </w:style>
  <w:style w:styleId="Title" w:type="paragraph">
    <w:name w:val="Title"/>
    <w:basedOn w:val="Normal"/>
    <w:uiPriority w:val="1"/>
    <w:qFormat/>
    <w:pPr>
      <w:spacing w:before="53"/>
      <w:ind w:left="1800"/>
    </w:pPr>
    <w:rPr>
      <w:rFonts w:ascii="Arial" w:hAnsi="Arial" w:eastAsia="Arial" w:cs="Arial"/>
      <w:b/>
      <w:bCs/>
      <w:sz w:val="28"/>
      <w:szCs w:val="28"/>
    </w:rPr>
  </w:style>
  <w:style w:styleId="ListParagraph" w:type="paragraph">
    <w:name w:val="List Paragraph"/>
    <w:basedOn w:val="Normal"/>
    <w:uiPriority w:val="1"/>
    <w:qFormat/>
    <w:pPr>
      <w:spacing w:before="120"/>
      <w:ind w:left="2700" w:right="1915" w:hanging="54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yperlink" Target="http://www.daff.gov.au/FTA"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2004/50</dc:title>
  <dcterms:created xsi:type="dcterms:W3CDTF">2020-12-09T22:47:18Z</dcterms:created>
  <dcterms:modified xsi:type="dcterms:W3CDTF">2020-12-09T22:47:18Z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2004-12-06T00:00:00Z</vt:filetime>
  </property>
  <property fmtid="{D5CDD505-2E9C-101B-9397-08002B2CF9AE}" pid="3" name="Creator">
    <vt:lpwstr>PScript5.dll Version 5.2</vt:lpwstr>
  </property>
  <property fmtid="{D5CDD505-2E9C-101B-9397-08002B2CF9AE}" pid="4" name="LastSaved">
    <vt:filetime>2020-12-09T00:00:00Z</vt:filetime>
  </property>
</Properties>
</file>