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0"/>
        <w:ind w:left="0"/>
        <w:rPr>
          <w:rFonts w:ascii="Times New Roman"/>
        </w:rPr>
      </w:pPr>
    </w:p>
    <w:p>
      <w:pPr>
        <w:pStyle w:val="BodyText"/>
        <w:spacing w:before="6"/>
        <w:ind w:left="0"/>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26669</wp:posOffset>
            </wp:positionH>
            <wp:positionV relativeFrom="paragraph">
              <wp:posOffset>-1041885</wp:posOffset>
            </wp:positionV>
            <wp:extent cx="752983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9830" cy="933450"/>
                    </a:xfrm>
                    <a:prstGeom prst="rect">
                      <a:avLst/>
                    </a:prstGeom>
                  </pic:spPr>
                </pic:pic>
              </a:graphicData>
            </a:graphic>
          </wp:anchor>
        </w:drawing>
      </w:r>
      <w:bookmarkStart w:name="AUSTRALIAN CUSTOMS NOTICE NO. 2004/51" w:id="1"/>
      <w:bookmarkEnd w:id="1"/>
      <w:r>
        <w:rPr>
          <w:b w:val="0"/>
        </w:rPr>
      </w:r>
      <w:r>
        <w:rPr/>
        <w:t>AUSTRALIAN CUSTOMS NOTICE NO. 2004/51</w:t>
      </w:r>
    </w:p>
    <w:p>
      <w:pPr>
        <w:pStyle w:val="BodyText"/>
        <w:spacing w:line="20" w:lineRule="exact" w:before="0"/>
        <w:ind w:left="1767"/>
        <w:rPr>
          <w:sz w:val="2"/>
        </w:rPr>
      </w:pPr>
      <w:r>
        <w:rPr>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sz w:val="2"/>
        </w:rPr>
      </w:r>
    </w:p>
    <w:p>
      <w:pPr>
        <w:spacing w:before="233"/>
        <w:ind w:left="2269" w:right="2167" w:firstLine="0"/>
        <w:jc w:val="center"/>
        <w:rPr>
          <w:sz w:val="28"/>
        </w:rPr>
      </w:pPr>
      <w:bookmarkStart w:name="Thailand - Australia Free Trade Agreemen" w:id="2"/>
      <w:bookmarkEnd w:id="2"/>
      <w:r>
        <w:rPr/>
      </w:r>
      <w:r>
        <w:rPr>
          <w:sz w:val="28"/>
        </w:rPr>
        <w:t>Thailand - Australia Free Trade Agreement - Rules of Origin</w:t>
      </w:r>
    </w:p>
    <w:p>
      <w:pPr>
        <w:pStyle w:val="BodyText"/>
        <w:spacing w:before="238"/>
        <w:ind w:right="1889"/>
      </w:pPr>
      <w:r>
        <w:rPr/>
        <w:t>Goods imported into Australia that originate in Thailand will be entitled to preferential rates of customs duty on and from the day that the Thailand - Australia Free Trade Agreement (TAFTA) enters into force.</w:t>
      </w:r>
    </w:p>
    <w:p>
      <w:pPr>
        <w:pStyle w:val="BodyText"/>
        <w:spacing w:before="180"/>
        <w:ind w:right="1679"/>
      </w:pPr>
      <w:r>
        <w:rPr/>
        <w:t>TAFTA is expected to enter into force on 1 January 2005. A COMPILE message will be issued when the exact date has been determined.</w:t>
      </w:r>
    </w:p>
    <w:p>
      <w:pPr>
        <w:pStyle w:val="BodyText"/>
        <w:spacing w:before="180"/>
        <w:ind w:right="1679"/>
      </w:pPr>
      <w:r>
        <w:rPr/>
        <w:t>The purpose of this Australian Customs Notice (ACN) is to summarise the rules for determining whether goods originate in Thailand.</w:t>
      </w:r>
    </w:p>
    <w:p>
      <w:pPr>
        <w:pStyle w:val="Heading1"/>
        <w:spacing w:before="183"/>
      </w:pPr>
      <w:bookmarkStart w:name="_bookmark0" w:id="3"/>
      <w:bookmarkEnd w:id="3"/>
      <w:r>
        <w:rPr>
          <w:b w:val="0"/>
          <w:i w:val="0"/>
        </w:rPr>
      </w:r>
      <w:bookmarkStart w:name="Rules of origin" w:id="4"/>
      <w:bookmarkEnd w:id="4"/>
      <w:r>
        <w:rPr>
          <w:b w:val="0"/>
          <w:i w:val="0"/>
        </w:rPr>
      </w:r>
      <w:r>
        <w:rPr/>
        <w:t>Rules of origin</w:t>
      </w:r>
    </w:p>
    <w:p>
      <w:pPr>
        <w:pStyle w:val="BodyText"/>
        <w:spacing w:before="177"/>
      </w:pPr>
      <w:r>
        <w:rPr/>
        <w:t>There are rules of origin for the following categories of goods:</w:t>
      </w:r>
    </w:p>
    <w:p>
      <w:pPr>
        <w:pStyle w:val="ListParagraph"/>
        <w:numPr>
          <w:ilvl w:val="0"/>
          <w:numId w:val="1"/>
        </w:numPr>
        <w:tabs>
          <w:tab w:pos="2337" w:val="left" w:leader="none"/>
          <w:tab w:pos="2338" w:val="left" w:leader="none"/>
        </w:tabs>
        <w:spacing w:line="240" w:lineRule="auto" w:before="100" w:after="0"/>
        <w:ind w:left="2337" w:right="0" w:hanging="541"/>
        <w:jc w:val="left"/>
        <w:rPr>
          <w:sz w:val="20"/>
        </w:rPr>
      </w:pPr>
      <w:r>
        <w:rPr>
          <w:sz w:val="20"/>
        </w:rPr>
        <w:t>wholly obtained goods of</w:t>
      </w:r>
      <w:r>
        <w:rPr>
          <w:spacing w:val="-5"/>
          <w:sz w:val="20"/>
        </w:rPr>
        <w:t> </w:t>
      </w:r>
      <w:r>
        <w:rPr>
          <w:sz w:val="20"/>
        </w:rPr>
        <w:t>Thailand;</w:t>
      </w:r>
    </w:p>
    <w:p>
      <w:pPr>
        <w:pStyle w:val="ListParagraph"/>
        <w:numPr>
          <w:ilvl w:val="0"/>
          <w:numId w:val="1"/>
        </w:numPr>
        <w:tabs>
          <w:tab w:pos="2337" w:val="left" w:leader="none"/>
          <w:tab w:pos="2338" w:val="left" w:leader="none"/>
        </w:tabs>
        <w:spacing w:line="240" w:lineRule="auto" w:before="100" w:after="0"/>
        <w:ind w:left="2337" w:right="0" w:hanging="541"/>
        <w:jc w:val="left"/>
        <w:rPr>
          <w:sz w:val="20"/>
        </w:rPr>
      </w:pPr>
      <w:r>
        <w:rPr>
          <w:sz w:val="20"/>
        </w:rPr>
        <w:t>goods produced entirely in Thailand or in Thailand and Australia;</w:t>
      </w:r>
      <w:r>
        <w:rPr>
          <w:spacing w:val="-16"/>
          <w:sz w:val="20"/>
        </w:rPr>
        <w:t> </w:t>
      </w:r>
      <w:r>
        <w:rPr>
          <w:sz w:val="20"/>
        </w:rPr>
        <w:t>and</w:t>
      </w:r>
    </w:p>
    <w:p>
      <w:pPr>
        <w:pStyle w:val="ListParagraph"/>
        <w:numPr>
          <w:ilvl w:val="0"/>
          <w:numId w:val="1"/>
        </w:numPr>
        <w:tabs>
          <w:tab w:pos="2337" w:val="left" w:leader="none"/>
          <w:tab w:pos="2338" w:val="left" w:leader="none"/>
        </w:tabs>
        <w:spacing w:line="240" w:lineRule="auto" w:before="100" w:after="0"/>
        <w:ind w:left="2337" w:right="0" w:hanging="541"/>
        <w:jc w:val="left"/>
        <w:rPr>
          <w:sz w:val="20"/>
        </w:rPr>
      </w:pPr>
      <w:r>
        <w:rPr>
          <w:sz w:val="20"/>
        </w:rPr>
        <w:t>goods that are chemicals, plastics or</w:t>
      </w:r>
      <w:r>
        <w:rPr>
          <w:spacing w:val="-6"/>
          <w:sz w:val="20"/>
        </w:rPr>
        <w:t> </w:t>
      </w:r>
      <w:r>
        <w:rPr>
          <w:sz w:val="20"/>
        </w:rPr>
        <w:t>rubber.</w:t>
      </w:r>
    </w:p>
    <w:p>
      <w:pPr>
        <w:spacing w:before="181"/>
        <w:ind w:left="1797" w:right="0" w:firstLine="0"/>
        <w:jc w:val="left"/>
        <w:rPr>
          <w:i/>
          <w:sz w:val="20"/>
        </w:rPr>
      </w:pPr>
      <w:r>
        <w:rPr>
          <w:i/>
          <w:sz w:val="20"/>
          <w:u w:val="single"/>
        </w:rPr>
        <w:t>Category 1: Wholly obtained goods of Thailand</w:t>
      </w:r>
    </w:p>
    <w:p>
      <w:pPr>
        <w:pStyle w:val="BodyText"/>
        <w:spacing w:before="178"/>
        <w:ind w:right="1766"/>
      </w:pPr>
      <w:r>
        <w:rPr/>
        <w:t>Goods will be </w:t>
      </w:r>
      <w:r>
        <w:rPr>
          <w:i/>
        </w:rPr>
        <w:t>Thai originating goods </w:t>
      </w:r>
      <w:r>
        <w:rPr/>
        <w:t>if they are wholly obtained goods, and the importer of the goods holds, at the time the goods are imported, a Certificate of Origin, or a copy of one, for the goods.</w:t>
      </w:r>
    </w:p>
    <w:p>
      <w:pPr>
        <w:pStyle w:val="BodyText"/>
        <w:spacing w:before="180"/>
      </w:pPr>
      <w:r>
        <w:rPr/>
        <w:t>Goods will be wholly obtained goods of Thailand if, and only if, the goods are:</w:t>
      </w:r>
    </w:p>
    <w:p>
      <w:pPr>
        <w:pStyle w:val="ListParagraph"/>
        <w:numPr>
          <w:ilvl w:val="0"/>
          <w:numId w:val="2"/>
        </w:numPr>
        <w:tabs>
          <w:tab w:pos="2337" w:val="left" w:leader="none"/>
          <w:tab w:pos="2338" w:val="left" w:leader="none"/>
        </w:tabs>
        <w:spacing w:line="240" w:lineRule="auto" w:before="100" w:after="0"/>
        <w:ind w:left="2337" w:right="0" w:hanging="541"/>
        <w:jc w:val="left"/>
        <w:rPr>
          <w:sz w:val="20"/>
        </w:rPr>
      </w:pPr>
      <w:r>
        <w:rPr>
          <w:sz w:val="20"/>
        </w:rPr>
        <w:t>minerals extracted in Thailand;</w:t>
      </w:r>
      <w:r>
        <w:rPr>
          <w:spacing w:val="-5"/>
          <w:sz w:val="20"/>
        </w:rPr>
        <w:t> </w:t>
      </w:r>
      <w:r>
        <w:rPr>
          <w:sz w:val="20"/>
        </w:rPr>
        <w:t>or</w:t>
      </w:r>
    </w:p>
    <w:p>
      <w:pPr>
        <w:pStyle w:val="ListParagraph"/>
        <w:numPr>
          <w:ilvl w:val="0"/>
          <w:numId w:val="2"/>
        </w:numPr>
        <w:tabs>
          <w:tab w:pos="2337" w:val="left" w:leader="none"/>
          <w:tab w:pos="2338" w:val="left" w:leader="none"/>
        </w:tabs>
        <w:spacing w:line="240" w:lineRule="auto" w:before="100" w:after="0"/>
        <w:ind w:left="2337" w:right="0" w:hanging="541"/>
        <w:jc w:val="left"/>
        <w:rPr>
          <w:sz w:val="20"/>
        </w:rPr>
      </w:pPr>
      <w:r>
        <w:rPr>
          <w:sz w:val="20"/>
        </w:rPr>
        <w:t>agricultural goods harvested, picked or gathered in Thailand;</w:t>
      </w:r>
      <w:r>
        <w:rPr>
          <w:spacing w:val="-11"/>
          <w:sz w:val="20"/>
        </w:rPr>
        <w:t> </w:t>
      </w:r>
      <w:r>
        <w:rPr>
          <w:sz w:val="20"/>
        </w:rPr>
        <w:t>or</w:t>
      </w:r>
    </w:p>
    <w:p>
      <w:pPr>
        <w:pStyle w:val="ListParagraph"/>
        <w:numPr>
          <w:ilvl w:val="0"/>
          <w:numId w:val="2"/>
        </w:numPr>
        <w:tabs>
          <w:tab w:pos="2338" w:val="left" w:leader="none"/>
          <w:tab w:pos="2339" w:val="left" w:leader="none"/>
        </w:tabs>
        <w:spacing w:line="240" w:lineRule="auto" w:before="100" w:after="0"/>
        <w:ind w:left="2338" w:right="0" w:hanging="542"/>
        <w:jc w:val="left"/>
        <w:rPr>
          <w:sz w:val="20"/>
        </w:rPr>
      </w:pPr>
      <w:r>
        <w:rPr>
          <w:sz w:val="20"/>
        </w:rPr>
        <w:t>live animals born and raised in Thailand;</w:t>
      </w:r>
      <w:r>
        <w:rPr>
          <w:spacing w:val="-9"/>
          <w:sz w:val="20"/>
        </w:rPr>
        <w:t> </w:t>
      </w:r>
      <w:r>
        <w:rPr>
          <w:sz w:val="20"/>
        </w:rPr>
        <w:t>or</w:t>
      </w:r>
    </w:p>
    <w:p>
      <w:pPr>
        <w:pStyle w:val="ListParagraph"/>
        <w:numPr>
          <w:ilvl w:val="0"/>
          <w:numId w:val="2"/>
        </w:numPr>
        <w:tabs>
          <w:tab w:pos="2337" w:val="left" w:leader="none"/>
          <w:tab w:pos="2338" w:val="left" w:leader="none"/>
        </w:tabs>
        <w:spacing w:line="240" w:lineRule="auto" w:before="101" w:after="0"/>
        <w:ind w:left="2337" w:right="0" w:hanging="541"/>
        <w:jc w:val="left"/>
        <w:rPr>
          <w:sz w:val="20"/>
        </w:rPr>
      </w:pPr>
      <w:r>
        <w:rPr>
          <w:sz w:val="20"/>
        </w:rPr>
        <w:t>products obtained from live animals in Thailand;</w:t>
      </w:r>
      <w:r>
        <w:rPr>
          <w:spacing w:val="-9"/>
          <w:sz w:val="20"/>
        </w:rPr>
        <w:t> </w:t>
      </w:r>
      <w:r>
        <w:rPr>
          <w:sz w:val="20"/>
        </w:rPr>
        <w:t>or</w:t>
      </w:r>
    </w:p>
    <w:p>
      <w:pPr>
        <w:pStyle w:val="ListParagraph"/>
        <w:numPr>
          <w:ilvl w:val="0"/>
          <w:numId w:val="2"/>
        </w:numPr>
        <w:tabs>
          <w:tab w:pos="2337" w:val="left" w:leader="none"/>
          <w:tab w:pos="2338" w:val="left" w:leader="none"/>
        </w:tabs>
        <w:spacing w:line="240" w:lineRule="auto" w:before="100" w:after="0"/>
        <w:ind w:left="2337" w:right="1757" w:hanging="541"/>
        <w:jc w:val="left"/>
        <w:rPr>
          <w:sz w:val="20"/>
        </w:rPr>
      </w:pPr>
      <w:r>
        <w:rPr>
          <w:sz w:val="20"/>
        </w:rPr>
        <w:t>goods</w:t>
      </w:r>
      <w:r>
        <w:rPr>
          <w:spacing w:val="-5"/>
          <w:sz w:val="20"/>
        </w:rPr>
        <w:t> </w:t>
      </w:r>
      <w:r>
        <w:rPr>
          <w:sz w:val="20"/>
        </w:rPr>
        <w:t>obtained</w:t>
      </w:r>
      <w:r>
        <w:rPr>
          <w:spacing w:val="-4"/>
          <w:sz w:val="20"/>
        </w:rPr>
        <w:t> </w:t>
      </w:r>
      <w:r>
        <w:rPr>
          <w:sz w:val="20"/>
        </w:rPr>
        <w:t>directly</w:t>
      </w:r>
      <w:r>
        <w:rPr>
          <w:spacing w:val="-4"/>
          <w:sz w:val="20"/>
        </w:rPr>
        <w:t> </w:t>
      </w:r>
      <w:r>
        <w:rPr>
          <w:sz w:val="20"/>
        </w:rPr>
        <w:t>from</w:t>
      </w:r>
      <w:r>
        <w:rPr>
          <w:spacing w:val="-4"/>
          <w:sz w:val="20"/>
        </w:rPr>
        <w:t> </w:t>
      </w:r>
      <w:r>
        <w:rPr>
          <w:sz w:val="20"/>
        </w:rPr>
        <w:t>hunting,</w:t>
      </w:r>
      <w:r>
        <w:rPr>
          <w:spacing w:val="-4"/>
          <w:sz w:val="20"/>
        </w:rPr>
        <w:t> </w:t>
      </w:r>
      <w:r>
        <w:rPr>
          <w:sz w:val="20"/>
        </w:rPr>
        <w:t>trapping,</w:t>
      </w:r>
      <w:r>
        <w:rPr>
          <w:spacing w:val="-3"/>
          <w:sz w:val="20"/>
        </w:rPr>
        <w:t> </w:t>
      </w:r>
      <w:r>
        <w:rPr>
          <w:sz w:val="20"/>
        </w:rPr>
        <w:t>fishing,</w:t>
      </w:r>
      <w:r>
        <w:rPr>
          <w:spacing w:val="-5"/>
          <w:sz w:val="20"/>
        </w:rPr>
        <w:t> </w:t>
      </w:r>
      <w:r>
        <w:rPr>
          <w:sz w:val="20"/>
        </w:rPr>
        <w:t>gathering</w:t>
      </w:r>
      <w:r>
        <w:rPr>
          <w:spacing w:val="-4"/>
          <w:sz w:val="20"/>
        </w:rPr>
        <w:t> </w:t>
      </w:r>
      <w:r>
        <w:rPr>
          <w:sz w:val="20"/>
        </w:rPr>
        <w:t>or</w:t>
      </w:r>
      <w:r>
        <w:rPr>
          <w:spacing w:val="-5"/>
          <w:sz w:val="20"/>
        </w:rPr>
        <w:t> </w:t>
      </w:r>
      <w:r>
        <w:rPr>
          <w:sz w:val="20"/>
        </w:rPr>
        <w:t>capturing</w:t>
      </w:r>
      <w:r>
        <w:rPr>
          <w:spacing w:val="-4"/>
          <w:sz w:val="20"/>
        </w:rPr>
        <w:t> </w:t>
      </w:r>
      <w:r>
        <w:rPr>
          <w:sz w:val="20"/>
        </w:rPr>
        <w:t>carried</w:t>
      </w:r>
      <w:r>
        <w:rPr>
          <w:spacing w:val="-4"/>
          <w:sz w:val="20"/>
        </w:rPr>
        <w:t> </w:t>
      </w:r>
      <w:r>
        <w:rPr>
          <w:sz w:val="20"/>
        </w:rPr>
        <w:t>out in Thailand;</w:t>
      </w:r>
      <w:r>
        <w:rPr>
          <w:spacing w:val="-3"/>
          <w:sz w:val="20"/>
        </w:rPr>
        <w:t> </w:t>
      </w:r>
      <w:r>
        <w:rPr>
          <w:sz w:val="20"/>
        </w:rPr>
        <w:t>or</w:t>
      </w:r>
    </w:p>
    <w:p>
      <w:pPr>
        <w:pStyle w:val="ListParagraph"/>
        <w:numPr>
          <w:ilvl w:val="0"/>
          <w:numId w:val="2"/>
        </w:numPr>
        <w:tabs>
          <w:tab w:pos="2338" w:val="left" w:leader="none"/>
          <w:tab w:pos="2339" w:val="left" w:leader="none"/>
        </w:tabs>
        <w:spacing w:line="240" w:lineRule="auto" w:before="100" w:after="0"/>
        <w:ind w:left="2338" w:right="0" w:hanging="542"/>
        <w:jc w:val="left"/>
        <w:rPr>
          <w:sz w:val="20"/>
        </w:rPr>
      </w:pPr>
      <w:r>
        <w:rPr>
          <w:sz w:val="20"/>
        </w:rPr>
        <w:t>fish, shellfish, plant or other marine life</w:t>
      </w:r>
      <w:r>
        <w:rPr>
          <w:spacing w:val="-10"/>
          <w:sz w:val="20"/>
        </w:rPr>
        <w:t> </w:t>
      </w:r>
      <w:r>
        <w:rPr>
          <w:sz w:val="20"/>
        </w:rPr>
        <w:t>taken:</w:t>
      </w:r>
    </w:p>
    <w:p>
      <w:pPr>
        <w:pStyle w:val="ListParagraph"/>
        <w:numPr>
          <w:ilvl w:val="1"/>
          <w:numId w:val="2"/>
        </w:numPr>
        <w:tabs>
          <w:tab w:pos="2877" w:val="left" w:leader="none"/>
          <w:tab w:pos="2878" w:val="left" w:leader="none"/>
        </w:tabs>
        <w:spacing w:line="240" w:lineRule="auto" w:before="100" w:after="0"/>
        <w:ind w:left="2877" w:right="0" w:hanging="541"/>
        <w:jc w:val="left"/>
        <w:rPr>
          <w:sz w:val="20"/>
        </w:rPr>
      </w:pPr>
      <w:r>
        <w:rPr>
          <w:sz w:val="20"/>
        </w:rPr>
        <w:t>within the territorial sea of Thailand;</w:t>
      </w:r>
      <w:r>
        <w:rPr>
          <w:spacing w:val="-8"/>
          <w:sz w:val="20"/>
        </w:rPr>
        <w:t> </w:t>
      </w:r>
      <w:r>
        <w:rPr>
          <w:sz w:val="20"/>
        </w:rPr>
        <w:t>or</w:t>
      </w:r>
    </w:p>
    <w:p>
      <w:pPr>
        <w:pStyle w:val="ListParagraph"/>
        <w:numPr>
          <w:ilvl w:val="1"/>
          <w:numId w:val="2"/>
        </w:numPr>
        <w:tabs>
          <w:tab w:pos="2877" w:val="left" w:leader="none"/>
          <w:tab w:pos="2879" w:val="left" w:leader="none"/>
        </w:tabs>
        <w:spacing w:line="240" w:lineRule="auto" w:before="100" w:after="0"/>
        <w:ind w:left="2877" w:right="1772" w:hanging="540"/>
        <w:jc w:val="left"/>
        <w:rPr>
          <w:sz w:val="20"/>
        </w:rPr>
      </w:pPr>
      <w:r>
        <w:rPr>
          <w:sz w:val="20"/>
        </w:rPr>
        <w:t>within any other maritime zone in which Thailand has sovereign rights under the law of Thailand and in accordance with the United Nations Convention on the Law of the Sea (UNCLOS);</w:t>
      </w:r>
      <w:r>
        <w:rPr>
          <w:spacing w:val="-5"/>
          <w:sz w:val="20"/>
        </w:rPr>
        <w:t> </w:t>
      </w:r>
      <w:r>
        <w:rPr>
          <w:sz w:val="20"/>
        </w:rPr>
        <w:t>or</w:t>
      </w:r>
    </w:p>
    <w:p>
      <w:pPr>
        <w:pStyle w:val="ListParagraph"/>
        <w:numPr>
          <w:ilvl w:val="1"/>
          <w:numId w:val="2"/>
        </w:numPr>
        <w:tabs>
          <w:tab w:pos="2877" w:val="left" w:leader="none"/>
          <w:tab w:pos="2878" w:val="left" w:leader="none"/>
        </w:tabs>
        <w:spacing w:line="240" w:lineRule="auto" w:before="100" w:after="0"/>
        <w:ind w:left="2877" w:right="0" w:hanging="541"/>
        <w:jc w:val="left"/>
        <w:rPr>
          <w:sz w:val="20"/>
        </w:rPr>
      </w:pPr>
      <w:r>
        <w:rPr>
          <w:sz w:val="20"/>
        </w:rPr>
        <w:t>from the high seas by ships flying the flag of Thailand;</w:t>
      </w:r>
      <w:r>
        <w:rPr>
          <w:spacing w:val="-18"/>
          <w:sz w:val="20"/>
        </w:rPr>
        <w:t> </w:t>
      </w:r>
      <w:r>
        <w:rPr>
          <w:sz w:val="20"/>
        </w:rPr>
        <w:t>or</w:t>
      </w:r>
    </w:p>
    <w:p>
      <w:pPr>
        <w:pStyle w:val="ListParagraph"/>
        <w:numPr>
          <w:ilvl w:val="0"/>
          <w:numId w:val="2"/>
        </w:numPr>
        <w:tabs>
          <w:tab w:pos="2337" w:val="left" w:leader="none"/>
          <w:tab w:pos="2338" w:val="left" w:leader="none"/>
        </w:tabs>
        <w:spacing w:line="240" w:lineRule="auto" w:before="100" w:after="0"/>
        <w:ind w:left="2337" w:right="1745" w:hanging="540"/>
        <w:jc w:val="left"/>
        <w:rPr>
          <w:sz w:val="20"/>
        </w:rPr>
      </w:pPr>
      <w:r>
        <w:rPr>
          <w:sz w:val="20"/>
        </w:rPr>
        <w:t>goods obtained or produced exclusively from goods referred to in paragraph (f) on board factory ships flying the flag of Thailand;</w:t>
      </w:r>
      <w:r>
        <w:rPr>
          <w:spacing w:val="-10"/>
          <w:sz w:val="20"/>
        </w:rPr>
        <w:t> </w:t>
      </w:r>
      <w:r>
        <w:rPr>
          <w:sz w:val="20"/>
        </w:rPr>
        <w:t>or</w:t>
      </w:r>
    </w:p>
    <w:p>
      <w:pPr>
        <w:pStyle w:val="ListParagraph"/>
        <w:numPr>
          <w:ilvl w:val="0"/>
          <w:numId w:val="2"/>
        </w:numPr>
        <w:tabs>
          <w:tab w:pos="2337" w:val="left" w:leader="none"/>
          <w:tab w:pos="2338" w:val="left" w:leader="none"/>
        </w:tabs>
        <w:spacing w:line="240" w:lineRule="auto" w:before="100" w:after="0"/>
        <w:ind w:left="2337" w:right="1910" w:hanging="540"/>
        <w:jc w:val="left"/>
        <w:rPr>
          <w:sz w:val="20"/>
        </w:rPr>
      </w:pPr>
      <w:r>
        <w:rPr>
          <w:sz w:val="20"/>
        </w:rPr>
        <w:t>goods taken from the seabed or the subsoil beneath the seabed of the territorial sea of Thailand or of the continental shelf of</w:t>
      </w:r>
      <w:r>
        <w:rPr>
          <w:spacing w:val="-10"/>
          <w:sz w:val="20"/>
        </w:rPr>
        <w:t> </w:t>
      </w:r>
      <w:r>
        <w:rPr>
          <w:sz w:val="20"/>
        </w:rPr>
        <w:t>Thailand:</w:t>
      </w:r>
    </w:p>
    <w:p>
      <w:pPr>
        <w:pStyle w:val="ListParagraph"/>
        <w:numPr>
          <w:ilvl w:val="0"/>
          <w:numId w:val="2"/>
        </w:numPr>
        <w:tabs>
          <w:tab w:pos="2877" w:val="left" w:leader="none"/>
          <w:tab w:pos="2878" w:val="left" w:leader="none"/>
        </w:tabs>
        <w:spacing w:line="240" w:lineRule="auto" w:before="101" w:after="0"/>
        <w:ind w:left="2877" w:right="0" w:hanging="541"/>
        <w:jc w:val="left"/>
        <w:rPr>
          <w:sz w:val="20"/>
        </w:rPr>
      </w:pPr>
      <w:r>
        <w:rPr>
          <w:sz w:val="20"/>
        </w:rPr>
        <w:t>by Thailand;</w:t>
      </w:r>
      <w:r>
        <w:rPr>
          <w:spacing w:val="-5"/>
          <w:sz w:val="20"/>
        </w:rPr>
        <w:t> </w:t>
      </w:r>
      <w:r>
        <w:rPr>
          <w:sz w:val="20"/>
        </w:rPr>
        <w:t>or</w:t>
      </w:r>
    </w:p>
    <w:p>
      <w:pPr>
        <w:pStyle w:val="ListParagraph"/>
        <w:numPr>
          <w:ilvl w:val="0"/>
          <w:numId w:val="3"/>
        </w:numPr>
        <w:tabs>
          <w:tab w:pos="2877" w:val="left" w:leader="none"/>
          <w:tab w:pos="2878" w:val="left" w:leader="none"/>
        </w:tabs>
        <w:spacing w:line="240" w:lineRule="auto" w:before="98" w:after="0"/>
        <w:ind w:left="2877" w:right="0" w:hanging="541"/>
        <w:jc w:val="left"/>
        <w:rPr>
          <w:sz w:val="20"/>
        </w:rPr>
      </w:pPr>
      <w:r>
        <w:rPr>
          <w:sz w:val="20"/>
        </w:rPr>
        <w:t>by a national of Thailand;</w:t>
      </w:r>
      <w:r>
        <w:rPr>
          <w:spacing w:val="-7"/>
          <w:sz w:val="20"/>
        </w:rPr>
        <w:t> </w:t>
      </w:r>
      <w:r>
        <w:rPr>
          <w:sz w:val="20"/>
        </w:rPr>
        <w:t>or</w:t>
      </w:r>
    </w:p>
    <w:p>
      <w:pPr>
        <w:pStyle w:val="ListParagraph"/>
        <w:numPr>
          <w:ilvl w:val="0"/>
          <w:numId w:val="3"/>
        </w:numPr>
        <w:tabs>
          <w:tab w:pos="2877" w:val="left" w:leader="none"/>
          <w:tab w:pos="2878" w:val="left" w:leader="none"/>
        </w:tabs>
        <w:spacing w:line="240" w:lineRule="auto" w:before="100" w:after="0"/>
        <w:ind w:left="2877" w:right="0" w:hanging="541"/>
        <w:jc w:val="left"/>
        <w:rPr>
          <w:sz w:val="20"/>
        </w:rPr>
      </w:pPr>
      <w:r>
        <w:rPr>
          <w:sz w:val="20"/>
        </w:rPr>
        <w:t>by a body corporate incorporated in Thailand;</w:t>
      </w:r>
      <w:r>
        <w:rPr>
          <w:spacing w:val="-8"/>
          <w:sz w:val="20"/>
        </w:rPr>
        <w:t> </w:t>
      </w:r>
      <w:r>
        <w:rPr>
          <w:sz w:val="20"/>
        </w:rPr>
        <w:t>or</w:t>
      </w:r>
    </w:p>
    <w:p>
      <w:pPr>
        <w:pStyle w:val="ListParagraph"/>
        <w:numPr>
          <w:ilvl w:val="0"/>
          <w:numId w:val="4"/>
        </w:numPr>
        <w:tabs>
          <w:tab w:pos="2337" w:val="left" w:leader="none"/>
          <w:tab w:pos="2339" w:val="left" w:leader="none"/>
        </w:tabs>
        <w:spacing w:line="240" w:lineRule="auto" w:before="100" w:after="0"/>
        <w:ind w:left="2337" w:right="1879" w:hanging="540"/>
        <w:jc w:val="left"/>
        <w:rPr>
          <w:sz w:val="20"/>
        </w:rPr>
      </w:pPr>
      <w:r>
        <w:rPr>
          <w:sz w:val="20"/>
        </w:rPr>
        <w:t>waste</w:t>
      </w:r>
      <w:r>
        <w:rPr>
          <w:spacing w:val="-4"/>
          <w:sz w:val="20"/>
        </w:rPr>
        <w:t> </w:t>
      </w:r>
      <w:r>
        <w:rPr>
          <w:sz w:val="20"/>
        </w:rPr>
        <w:t>and</w:t>
      </w:r>
      <w:r>
        <w:rPr>
          <w:spacing w:val="-4"/>
          <w:sz w:val="20"/>
        </w:rPr>
        <w:t> </w:t>
      </w:r>
      <w:r>
        <w:rPr>
          <w:sz w:val="20"/>
        </w:rPr>
        <w:t>scrap</w:t>
      </w:r>
      <w:r>
        <w:rPr>
          <w:spacing w:val="-4"/>
          <w:sz w:val="20"/>
        </w:rPr>
        <w:t> </w:t>
      </w:r>
      <w:r>
        <w:rPr>
          <w:sz w:val="20"/>
        </w:rPr>
        <w:t>that</w:t>
      </w:r>
      <w:r>
        <w:rPr>
          <w:spacing w:val="-4"/>
          <w:sz w:val="20"/>
        </w:rPr>
        <w:t> </w:t>
      </w:r>
      <w:r>
        <w:rPr>
          <w:sz w:val="20"/>
        </w:rPr>
        <w:t>has</w:t>
      </w:r>
      <w:r>
        <w:rPr>
          <w:spacing w:val="-3"/>
          <w:sz w:val="20"/>
        </w:rPr>
        <w:t> </w:t>
      </w:r>
      <w:r>
        <w:rPr>
          <w:sz w:val="20"/>
        </w:rPr>
        <w:t>been</w:t>
      </w:r>
      <w:r>
        <w:rPr>
          <w:spacing w:val="-4"/>
          <w:sz w:val="20"/>
        </w:rPr>
        <w:t> </w:t>
      </w:r>
      <w:r>
        <w:rPr>
          <w:sz w:val="20"/>
        </w:rPr>
        <w:t>derived</w:t>
      </w:r>
      <w:r>
        <w:rPr>
          <w:spacing w:val="-3"/>
          <w:sz w:val="20"/>
        </w:rPr>
        <w:t> </w:t>
      </w:r>
      <w:r>
        <w:rPr>
          <w:sz w:val="20"/>
        </w:rPr>
        <w:t>from</w:t>
      </w:r>
      <w:r>
        <w:rPr>
          <w:spacing w:val="-3"/>
          <w:sz w:val="20"/>
        </w:rPr>
        <w:t> </w:t>
      </w:r>
      <w:r>
        <w:rPr>
          <w:sz w:val="20"/>
        </w:rPr>
        <w:t>production</w:t>
      </w:r>
      <w:r>
        <w:rPr>
          <w:spacing w:val="-3"/>
          <w:sz w:val="20"/>
        </w:rPr>
        <w:t> </w:t>
      </w:r>
      <w:r>
        <w:rPr>
          <w:sz w:val="20"/>
        </w:rPr>
        <w:t>operations</w:t>
      </w:r>
      <w:r>
        <w:rPr>
          <w:spacing w:val="-3"/>
          <w:sz w:val="20"/>
        </w:rPr>
        <w:t> </w:t>
      </w:r>
      <w:r>
        <w:rPr>
          <w:sz w:val="20"/>
        </w:rPr>
        <w:t>in</w:t>
      </w:r>
      <w:r>
        <w:rPr>
          <w:spacing w:val="-3"/>
          <w:sz w:val="20"/>
        </w:rPr>
        <w:t> </w:t>
      </w:r>
      <w:r>
        <w:rPr>
          <w:sz w:val="20"/>
        </w:rPr>
        <w:t>Thailand</w:t>
      </w:r>
      <w:r>
        <w:rPr>
          <w:spacing w:val="-4"/>
          <w:sz w:val="20"/>
        </w:rPr>
        <w:t> </w:t>
      </w:r>
      <w:r>
        <w:rPr>
          <w:sz w:val="20"/>
        </w:rPr>
        <w:t>and</w:t>
      </w:r>
      <w:r>
        <w:rPr>
          <w:spacing w:val="-3"/>
          <w:sz w:val="20"/>
        </w:rPr>
        <w:t> </w:t>
      </w:r>
      <w:r>
        <w:rPr>
          <w:sz w:val="20"/>
        </w:rPr>
        <w:t>that is fit only for the recovery of raw materials;</w:t>
      </w:r>
      <w:r>
        <w:rPr>
          <w:spacing w:val="-11"/>
          <w:sz w:val="20"/>
        </w:rPr>
        <w:t> </w:t>
      </w:r>
      <w:r>
        <w:rPr>
          <w:sz w:val="20"/>
        </w:rPr>
        <w:t>or</w:t>
      </w:r>
    </w:p>
    <w:p>
      <w:pPr>
        <w:pStyle w:val="BodyText"/>
        <w:spacing w:before="0"/>
        <w:ind w:left="0"/>
      </w:pPr>
    </w:p>
    <w:p>
      <w:pPr>
        <w:pStyle w:val="BodyText"/>
        <w:spacing w:before="4"/>
        <w:ind w:left="0"/>
        <w:rPr>
          <w:sz w:val="27"/>
        </w:rPr>
      </w:pPr>
      <w:r>
        <w:rPr/>
        <w:drawing>
          <wp:anchor distT="0" distB="0" distL="0" distR="0" allowOverlap="1" layoutInCell="1" locked="0" behindDoc="0" simplePos="0" relativeHeight="1">
            <wp:simplePos x="0" y="0"/>
            <wp:positionH relativeFrom="page">
              <wp:posOffset>5618226</wp:posOffset>
            </wp:positionH>
            <wp:positionV relativeFrom="paragraph">
              <wp:posOffset>224779</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7"/>
        </w:rPr>
        <w:sectPr>
          <w:type w:val="continuous"/>
          <w:pgSz w:w="11900" w:h="16840"/>
          <w:pgMar w:top="860" w:bottom="280" w:left="0" w:right="0"/>
        </w:sectPr>
      </w:pPr>
    </w:p>
    <w:p>
      <w:pPr>
        <w:pStyle w:val="BodyText"/>
        <w:spacing w:before="4"/>
        <w:ind w:left="0"/>
        <w:rPr>
          <w:sz w:val="19"/>
        </w:rPr>
      </w:pPr>
    </w:p>
    <w:p>
      <w:pPr>
        <w:pStyle w:val="ListParagraph"/>
        <w:numPr>
          <w:ilvl w:val="0"/>
          <w:numId w:val="4"/>
        </w:numPr>
        <w:tabs>
          <w:tab w:pos="2337" w:val="left" w:leader="none"/>
          <w:tab w:pos="2338" w:val="left" w:leader="none"/>
        </w:tabs>
        <w:spacing w:line="240" w:lineRule="auto" w:before="94" w:after="0"/>
        <w:ind w:left="2337" w:right="2502" w:hanging="540"/>
        <w:jc w:val="left"/>
        <w:rPr>
          <w:sz w:val="20"/>
        </w:rPr>
      </w:pPr>
      <w:r>
        <w:rPr>
          <w:sz w:val="20"/>
        </w:rPr>
        <w:t>used</w:t>
      </w:r>
      <w:r>
        <w:rPr>
          <w:spacing w:val="-3"/>
          <w:sz w:val="20"/>
        </w:rPr>
        <w:t> </w:t>
      </w:r>
      <w:r>
        <w:rPr>
          <w:sz w:val="20"/>
        </w:rPr>
        <w:t>goods</w:t>
      </w:r>
      <w:r>
        <w:rPr>
          <w:spacing w:val="-3"/>
          <w:sz w:val="20"/>
        </w:rPr>
        <w:t> </w:t>
      </w:r>
      <w:r>
        <w:rPr>
          <w:sz w:val="20"/>
        </w:rPr>
        <w:t>that</w:t>
      </w:r>
      <w:r>
        <w:rPr>
          <w:spacing w:val="-3"/>
          <w:sz w:val="20"/>
        </w:rPr>
        <w:t> </w:t>
      </w:r>
      <w:r>
        <w:rPr>
          <w:sz w:val="20"/>
        </w:rPr>
        <w:t>are</w:t>
      </w:r>
      <w:r>
        <w:rPr>
          <w:spacing w:val="-4"/>
          <w:sz w:val="20"/>
        </w:rPr>
        <w:t> </w:t>
      </w:r>
      <w:r>
        <w:rPr>
          <w:sz w:val="20"/>
        </w:rPr>
        <w:t>collected</w:t>
      </w:r>
      <w:r>
        <w:rPr>
          <w:spacing w:val="-3"/>
          <w:sz w:val="20"/>
        </w:rPr>
        <w:t> </w:t>
      </w:r>
      <w:r>
        <w:rPr>
          <w:sz w:val="20"/>
        </w:rPr>
        <w:t>in</w:t>
      </w:r>
      <w:r>
        <w:rPr>
          <w:spacing w:val="-3"/>
          <w:sz w:val="20"/>
        </w:rPr>
        <w:t> </w:t>
      </w:r>
      <w:r>
        <w:rPr>
          <w:sz w:val="20"/>
        </w:rPr>
        <w:t>Thailand</w:t>
      </w:r>
      <w:r>
        <w:rPr>
          <w:spacing w:val="-3"/>
          <w:sz w:val="20"/>
        </w:rPr>
        <w:t> </w:t>
      </w:r>
      <w:r>
        <w:rPr>
          <w:sz w:val="20"/>
        </w:rPr>
        <w:t>that</w:t>
      </w:r>
      <w:r>
        <w:rPr>
          <w:spacing w:val="-3"/>
          <w:sz w:val="20"/>
        </w:rPr>
        <w:t> </w:t>
      </w:r>
      <w:r>
        <w:rPr>
          <w:sz w:val="20"/>
        </w:rPr>
        <w:t>are</w:t>
      </w:r>
      <w:r>
        <w:rPr>
          <w:spacing w:val="-3"/>
          <w:sz w:val="20"/>
        </w:rPr>
        <w:t> </w:t>
      </w:r>
      <w:r>
        <w:rPr>
          <w:sz w:val="20"/>
        </w:rPr>
        <w:t>fit</w:t>
      </w:r>
      <w:r>
        <w:rPr>
          <w:spacing w:val="-3"/>
          <w:sz w:val="20"/>
        </w:rPr>
        <w:t> </w:t>
      </w:r>
      <w:r>
        <w:rPr>
          <w:sz w:val="20"/>
        </w:rPr>
        <w:t>only</w:t>
      </w:r>
      <w:r>
        <w:rPr>
          <w:spacing w:val="-3"/>
          <w:sz w:val="20"/>
        </w:rPr>
        <w:t> </w:t>
      </w:r>
      <w:r>
        <w:rPr>
          <w:sz w:val="20"/>
        </w:rPr>
        <w:t>for</w:t>
      </w:r>
      <w:r>
        <w:rPr>
          <w:spacing w:val="-3"/>
          <w:sz w:val="20"/>
        </w:rPr>
        <w:t> </w:t>
      </w:r>
      <w:r>
        <w:rPr>
          <w:sz w:val="20"/>
        </w:rPr>
        <w:t>the</w:t>
      </w:r>
      <w:r>
        <w:rPr>
          <w:spacing w:val="-2"/>
          <w:sz w:val="20"/>
        </w:rPr>
        <w:t> </w:t>
      </w:r>
      <w:r>
        <w:rPr>
          <w:sz w:val="20"/>
        </w:rPr>
        <w:t>recovery</w:t>
      </w:r>
      <w:r>
        <w:rPr>
          <w:spacing w:val="-3"/>
          <w:sz w:val="20"/>
        </w:rPr>
        <w:t> </w:t>
      </w:r>
      <w:r>
        <w:rPr>
          <w:sz w:val="20"/>
        </w:rPr>
        <w:t>of</w:t>
      </w:r>
      <w:r>
        <w:rPr>
          <w:spacing w:val="-3"/>
          <w:sz w:val="20"/>
        </w:rPr>
        <w:t> </w:t>
      </w:r>
      <w:r>
        <w:rPr>
          <w:sz w:val="20"/>
        </w:rPr>
        <w:t>raw materials;</w:t>
      </w:r>
      <w:r>
        <w:rPr>
          <w:spacing w:val="-2"/>
          <w:sz w:val="20"/>
        </w:rPr>
        <w:t> </w:t>
      </w:r>
      <w:r>
        <w:rPr>
          <w:sz w:val="20"/>
        </w:rPr>
        <w:t>or</w:t>
      </w:r>
    </w:p>
    <w:p>
      <w:pPr>
        <w:pStyle w:val="ListParagraph"/>
        <w:numPr>
          <w:ilvl w:val="0"/>
          <w:numId w:val="4"/>
        </w:numPr>
        <w:tabs>
          <w:tab w:pos="2338" w:val="left" w:leader="none"/>
          <w:tab w:pos="2339" w:val="left" w:leader="none"/>
        </w:tabs>
        <w:spacing w:line="240" w:lineRule="auto" w:before="101" w:after="0"/>
        <w:ind w:left="2337" w:right="1758" w:hanging="540"/>
        <w:jc w:val="left"/>
        <w:rPr>
          <w:sz w:val="20"/>
        </w:rPr>
      </w:pPr>
      <w:r>
        <w:rPr>
          <w:sz w:val="20"/>
        </w:rPr>
        <w:t>goods</w:t>
      </w:r>
      <w:r>
        <w:rPr>
          <w:spacing w:val="-4"/>
          <w:sz w:val="20"/>
        </w:rPr>
        <w:t> </w:t>
      </w:r>
      <w:r>
        <w:rPr>
          <w:sz w:val="20"/>
        </w:rPr>
        <w:t>produced</w:t>
      </w:r>
      <w:r>
        <w:rPr>
          <w:spacing w:val="-3"/>
          <w:sz w:val="20"/>
        </w:rPr>
        <w:t> </w:t>
      </w:r>
      <w:r>
        <w:rPr>
          <w:sz w:val="20"/>
        </w:rPr>
        <w:t>entirely</w:t>
      </w:r>
      <w:r>
        <w:rPr>
          <w:spacing w:val="-3"/>
          <w:sz w:val="20"/>
        </w:rPr>
        <w:t> </w:t>
      </w:r>
      <w:r>
        <w:rPr>
          <w:sz w:val="20"/>
        </w:rPr>
        <w:t>in</w:t>
      </w:r>
      <w:r>
        <w:rPr>
          <w:spacing w:val="-4"/>
          <w:sz w:val="20"/>
        </w:rPr>
        <w:t> </w:t>
      </w:r>
      <w:r>
        <w:rPr>
          <w:sz w:val="20"/>
        </w:rPr>
        <w:t>Thailand</w:t>
      </w:r>
      <w:r>
        <w:rPr>
          <w:spacing w:val="-4"/>
          <w:sz w:val="20"/>
        </w:rPr>
        <w:t> </w:t>
      </w:r>
      <w:r>
        <w:rPr>
          <w:sz w:val="20"/>
        </w:rPr>
        <w:t>exclusively</w:t>
      </w:r>
      <w:r>
        <w:rPr>
          <w:spacing w:val="-3"/>
          <w:sz w:val="20"/>
        </w:rPr>
        <w:t> </w:t>
      </w:r>
      <w:r>
        <w:rPr>
          <w:sz w:val="20"/>
        </w:rPr>
        <w:t>from</w:t>
      </w:r>
      <w:r>
        <w:rPr>
          <w:spacing w:val="-4"/>
          <w:sz w:val="20"/>
        </w:rPr>
        <w:t> </w:t>
      </w:r>
      <w:r>
        <w:rPr>
          <w:sz w:val="20"/>
        </w:rPr>
        <w:t>goods</w:t>
      </w:r>
      <w:r>
        <w:rPr>
          <w:spacing w:val="-3"/>
          <w:sz w:val="20"/>
        </w:rPr>
        <w:t> </w:t>
      </w:r>
      <w:r>
        <w:rPr>
          <w:sz w:val="20"/>
        </w:rPr>
        <w:t>referred</w:t>
      </w:r>
      <w:r>
        <w:rPr>
          <w:spacing w:val="-4"/>
          <w:sz w:val="20"/>
        </w:rPr>
        <w:t> </w:t>
      </w:r>
      <w:r>
        <w:rPr>
          <w:sz w:val="20"/>
        </w:rPr>
        <w:t>to</w:t>
      </w:r>
      <w:r>
        <w:rPr>
          <w:spacing w:val="-3"/>
          <w:sz w:val="20"/>
        </w:rPr>
        <w:t> </w:t>
      </w:r>
      <w:r>
        <w:rPr>
          <w:sz w:val="20"/>
        </w:rPr>
        <w:t>in</w:t>
      </w:r>
      <w:r>
        <w:rPr>
          <w:spacing w:val="-3"/>
          <w:sz w:val="20"/>
        </w:rPr>
        <w:t> </w:t>
      </w:r>
      <w:r>
        <w:rPr>
          <w:sz w:val="20"/>
        </w:rPr>
        <w:t>paragraphs</w:t>
      </w:r>
      <w:r>
        <w:rPr>
          <w:spacing w:val="-3"/>
          <w:sz w:val="20"/>
        </w:rPr>
        <w:t> </w:t>
      </w:r>
      <w:r>
        <w:rPr>
          <w:sz w:val="20"/>
        </w:rPr>
        <w:t>(a) to</w:t>
      </w:r>
      <w:r>
        <w:rPr>
          <w:spacing w:val="-2"/>
          <w:sz w:val="20"/>
        </w:rPr>
        <w:t> </w:t>
      </w:r>
      <w:r>
        <w:rPr>
          <w:sz w:val="20"/>
        </w:rPr>
        <w:t>(j).</w:t>
      </w:r>
    </w:p>
    <w:p>
      <w:pPr>
        <w:pStyle w:val="BodyText"/>
        <w:spacing w:before="179"/>
      </w:pPr>
      <w:r>
        <w:rPr/>
        <w:t>Information on Certificates of Origin is provided under the heading “Certification” in this ACN.</w:t>
      </w:r>
    </w:p>
    <w:p>
      <w:pPr>
        <w:spacing w:before="182"/>
        <w:ind w:left="1797" w:right="0" w:firstLine="0"/>
        <w:jc w:val="left"/>
        <w:rPr>
          <w:i/>
          <w:sz w:val="20"/>
        </w:rPr>
      </w:pPr>
      <w:r>
        <w:rPr>
          <w:i/>
          <w:sz w:val="20"/>
          <w:u w:val="single"/>
        </w:rPr>
        <w:t>Category 2. Goods produced entirely in Thailand or in Thailand and Australia</w:t>
      </w:r>
    </w:p>
    <w:p>
      <w:pPr>
        <w:spacing w:before="179"/>
        <w:ind w:left="1797" w:right="0" w:firstLine="0"/>
        <w:jc w:val="left"/>
        <w:rPr>
          <w:sz w:val="20"/>
        </w:rPr>
      </w:pPr>
      <w:r>
        <w:rPr>
          <w:sz w:val="20"/>
        </w:rPr>
        <w:t>Goods will </w:t>
      </w:r>
      <w:r>
        <w:rPr>
          <w:i/>
          <w:sz w:val="20"/>
        </w:rPr>
        <w:t>Thai originating goods </w:t>
      </w:r>
      <w:r>
        <w:rPr>
          <w:sz w:val="20"/>
        </w:rPr>
        <w:t>if:</w:t>
      </w:r>
    </w:p>
    <w:p>
      <w:pPr>
        <w:pStyle w:val="ListParagraph"/>
        <w:numPr>
          <w:ilvl w:val="0"/>
          <w:numId w:val="5"/>
        </w:numPr>
        <w:tabs>
          <w:tab w:pos="2337" w:val="left" w:leader="none"/>
          <w:tab w:pos="2338" w:val="left" w:leader="none"/>
        </w:tabs>
        <w:spacing w:line="240" w:lineRule="auto" w:before="113" w:after="0"/>
        <w:ind w:left="2337" w:right="1956" w:hanging="540"/>
        <w:jc w:val="left"/>
        <w:rPr>
          <w:sz w:val="20"/>
        </w:rPr>
      </w:pPr>
      <w:r>
        <w:rPr>
          <w:sz w:val="20"/>
        </w:rPr>
        <w:t>the goods are produced entirely in Thailand, or entirely in Thailand and Australia, from originating or non-originating materials, or</w:t>
      </w:r>
      <w:r>
        <w:rPr>
          <w:spacing w:val="-8"/>
          <w:sz w:val="20"/>
        </w:rPr>
        <w:t> </w:t>
      </w:r>
      <w:r>
        <w:rPr>
          <w:sz w:val="20"/>
        </w:rPr>
        <w:t>both;</w:t>
      </w:r>
    </w:p>
    <w:p>
      <w:pPr>
        <w:pStyle w:val="ListParagraph"/>
        <w:numPr>
          <w:ilvl w:val="0"/>
          <w:numId w:val="5"/>
        </w:numPr>
        <w:tabs>
          <w:tab w:pos="2337" w:val="left" w:leader="none"/>
          <w:tab w:pos="2338" w:val="left" w:leader="none"/>
        </w:tabs>
        <w:spacing w:line="240" w:lineRule="auto" w:before="113" w:after="0"/>
        <w:ind w:left="2337" w:right="1936" w:hanging="540"/>
        <w:jc w:val="left"/>
        <w:rPr>
          <w:sz w:val="20"/>
        </w:rPr>
      </w:pPr>
      <w:r>
        <w:rPr>
          <w:sz w:val="20"/>
        </w:rPr>
        <w:t>the goods satisfy the requirement or requirements that are specified in column 4 of</w:t>
      </w:r>
      <w:r>
        <w:rPr>
          <w:spacing w:val="-31"/>
          <w:sz w:val="20"/>
        </w:rPr>
        <w:t> </w:t>
      </w:r>
      <w:r>
        <w:rPr>
          <w:sz w:val="20"/>
        </w:rPr>
        <w:t>the tariff classification for the goods in the tariff table contained in the </w:t>
      </w:r>
      <w:r>
        <w:rPr>
          <w:i/>
          <w:sz w:val="20"/>
        </w:rPr>
        <w:t>Customs </w:t>
      </w:r>
      <w:r>
        <w:rPr>
          <w:sz w:val="20"/>
        </w:rPr>
        <w:t>(</w:t>
      </w:r>
      <w:r>
        <w:rPr>
          <w:i/>
          <w:sz w:val="20"/>
        </w:rPr>
        <w:t>Thailand- Australia Free Trade Agreement) Regulations 2004 </w:t>
      </w:r>
      <w:r>
        <w:rPr>
          <w:sz w:val="20"/>
        </w:rPr>
        <w:t>(TAFTA Regulations) that apply to the goods;</w:t>
      </w:r>
      <w:r>
        <w:rPr>
          <w:spacing w:val="-3"/>
          <w:sz w:val="20"/>
        </w:rPr>
        <w:t> </w:t>
      </w:r>
      <w:r>
        <w:rPr>
          <w:sz w:val="20"/>
        </w:rPr>
        <w:t>and</w:t>
      </w:r>
    </w:p>
    <w:p>
      <w:pPr>
        <w:pStyle w:val="ListParagraph"/>
        <w:numPr>
          <w:ilvl w:val="0"/>
          <w:numId w:val="5"/>
        </w:numPr>
        <w:tabs>
          <w:tab w:pos="2337" w:val="left" w:leader="none"/>
          <w:tab w:pos="2338" w:val="left" w:leader="none"/>
        </w:tabs>
        <w:spacing w:line="240" w:lineRule="auto" w:before="114" w:after="0"/>
        <w:ind w:left="2337" w:right="2244" w:hanging="540"/>
        <w:jc w:val="left"/>
        <w:rPr>
          <w:sz w:val="20"/>
        </w:rPr>
      </w:pPr>
      <w:r>
        <w:rPr>
          <w:sz w:val="20"/>
        </w:rPr>
        <w:t>the importer of the goods holds, at the time the goods are imported, a Certificate of Origin, or a copy of one, for those</w:t>
      </w:r>
      <w:r>
        <w:rPr>
          <w:spacing w:val="-10"/>
          <w:sz w:val="20"/>
        </w:rPr>
        <w:t> </w:t>
      </w:r>
      <w:r>
        <w:rPr>
          <w:sz w:val="20"/>
        </w:rPr>
        <w:t>goods.</w:t>
      </w:r>
    </w:p>
    <w:p>
      <w:pPr>
        <w:spacing w:before="180"/>
        <w:ind w:left="1797" w:right="0" w:firstLine="0"/>
        <w:jc w:val="left"/>
        <w:rPr>
          <w:sz w:val="20"/>
        </w:rPr>
      </w:pPr>
      <w:r>
        <w:rPr>
          <w:i/>
          <w:sz w:val="20"/>
        </w:rPr>
        <w:t>Originating materials </w:t>
      </w:r>
      <w:r>
        <w:rPr>
          <w:sz w:val="20"/>
        </w:rPr>
        <w:t>are defined as:</w:t>
      </w:r>
    </w:p>
    <w:p>
      <w:pPr>
        <w:pStyle w:val="ListParagraph"/>
        <w:numPr>
          <w:ilvl w:val="0"/>
          <w:numId w:val="6"/>
        </w:numPr>
        <w:tabs>
          <w:tab w:pos="2337" w:val="left" w:leader="none"/>
          <w:tab w:pos="2338" w:val="left" w:leader="none"/>
        </w:tabs>
        <w:spacing w:line="240" w:lineRule="auto" w:before="100" w:after="0"/>
        <w:ind w:left="2337" w:right="1720" w:hanging="541"/>
        <w:jc w:val="left"/>
        <w:rPr>
          <w:sz w:val="20"/>
        </w:rPr>
      </w:pPr>
      <w:r>
        <w:rPr>
          <w:sz w:val="20"/>
        </w:rPr>
        <w:t>goods that are used in the production of other goods and that are </w:t>
      </w:r>
      <w:r>
        <w:rPr>
          <w:i/>
          <w:sz w:val="20"/>
        </w:rPr>
        <w:t>Thai originating goods</w:t>
      </w:r>
      <w:r>
        <w:rPr>
          <w:sz w:val="20"/>
        </w:rPr>
        <w:t>; or</w:t>
      </w:r>
    </w:p>
    <w:p>
      <w:pPr>
        <w:pStyle w:val="ListParagraph"/>
        <w:numPr>
          <w:ilvl w:val="0"/>
          <w:numId w:val="6"/>
        </w:numPr>
        <w:tabs>
          <w:tab w:pos="2337" w:val="left" w:leader="none"/>
          <w:tab w:pos="2338" w:val="left" w:leader="none"/>
        </w:tabs>
        <w:spacing w:line="240" w:lineRule="auto" w:before="101" w:after="0"/>
        <w:ind w:left="2337" w:right="1877" w:hanging="540"/>
        <w:jc w:val="left"/>
        <w:rPr>
          <w:sz w:val="20"/>
        </w:rPr>
      </w:pPr>
      <w:r>
        <w:rPr>
          <w:sz w:val="20"/>
        </w:rPr>
        <w:t>goods that are used in the production of other goods and that are </w:t>
      </w:r>
      <w:r>
        <w:rPr>
          <w:i/>
          <w:sz w:val="20"/>
        </w:rPr>
        <w:t>Australian originating goods</w:t>
      </w:r>
      <w:r>
        <w:rPr>
          <w:sz w:val="20"/>
        </w:rPr>
        <w:t>.</w:t>
      </w:r>
    </w:p>
    <w:p>
      <w:pPr>
        <w:spacing w:before="179"/>
        <w:ind w:left="1797" w:right="2101" w:hanging="1"/>
        <w:jc w:val="left"/>
        <w:rPr>
          <w:sz w:val="20"/>
        </w:rPr>
      </w:pPr>
      <w:r>
        <w:rPr>
          <w:i/>
          <w:sz w:val="20"/>
        </w:rPr>
        <w:t>Australian originating goods </w:t>
      </w:r>
      <w:r>
        <w:rPr>
          <w:sz w:val="20"/>
        </w:rPr>
        <w:t>are goods that are </w:t>
      </w:r>
      <w:r>
        <w:rPr>
          <w:i/>
          <w:sz w:val="20"/>
        </w:rPr>
        <w:t>Australian originating goods </w:t>
      </w:r>
      <w:r>
        <w:rPr>
          <w:sz w:val="20"/>
        </w:rPr>
        <w:t>under a law of Thailand that implements TAFTA.</w:t>
      </w:r>
    </w:p>
    <w:p>
      <w:pPr>
        <w:pStyle w:val="BodyText"/>
        <w:spacing w:before="180"/>
        <w:ind w:right="1802"/>
      </w:pPr>
      <w:r>
        <w:rPr/>
        <w:t>The tariff table is contained in Schedule 1 to the TAFTA Regulations. In that Schedule, one or more origin requirements are set out against each Harmonized System (HS) tariff classification. For a good to be a </w:t>
      </w:r>
      <w:r>
        <w:rPr>
          <w:i/>
        </w:rPr>
        <w:t>Thai originating good</w:t>
      </w:r>
      <w:r>
        <w:rPr/>
        <w:t>, it must satisfy the requirements set out against the HS tariff classification for that good. The requirements may involve a change of tariff classification (CTC), a regional value content (RVC) or other</w:t>
      </w:r>
      <w:r>
        <w:rPr>
          <w:spacing w:val="-23"/>
        </w:rPr>
        <w:t> </w:t>
      </w:r>
      <w:r>
        <w:rPr/>
        <w:t>criteria.</w:t>
      </w:r>
    </w:p>
    <w:p>
      <w:pPr>
        <w:pStyle w:val="ListParagraph"/>
        <w:numPr>
          <w:ilvl w:val="0"/>
          <w:numId w:val="5"/>
        </w:numPr>
        <w:tabs>
          <w:tab w:pos="2337" w:val="left" w:leader="none"/>
          <w:tab w:pos="2338" w:val="left" w:leader="none"/>
        </w:tabs>
        <w:spacing w:line="240" w:lineRule="auto" w:before="195" w:after="0"/>
        <w:ind w:left="2337" w:right="0" w:hanging="541"/>
        <w:jc w:val="left"/>
        <w:rPr>
          <w:i/>
          <w:sz w:val="20"/>
        </w:rPr>
      </w:pPr>
      <w:r>
        <w:rPr>
          <w:i/>
          <w:sz w:val="20"/>
        </w:rPr>
        <w:t>CTC</w:t>
      </w:r>
      <w:r>
        <w:rPr>
          <w:i/>
          <w:spacing w:val="-3"/>
          <w:sz w:val="20"/>
        </w:rPr>
        <w:t> </w:t>
      </w:r>
      <w:r>
        <w:rPr>
          <w:i/>
          <w:sz w:val="20"/>
        </w:rPr>
        <w:t>Requirement</w:t>
      </w:r>
    </w:p>
    <w:p>
      <w:pPr>
        <w:pStyle w:val="BodyText"/>
        <w:spacing w:before="178"/>
      </w:pPr>
      <w:r>
        <w:rPr/>
        <w:t>A good will satisfy a CTC requirement if:</w:t>
      </w:r>
    </w:p>
    <w:p>
      <w:pPr>
        <w:pStyle w:val="ListParagraph"/>
        <w:numPr>
          <w:ilvl w:val="0"/>
          <w:numId w:val="7"/>
        </w:numPr>
        <w:tabs>
          <w:tab w:pos="2338" w:val="left" w:leader="none"/>
          <w:tab w:pos="2339" w:val="left" w:leader="none"/>
        </w:tabs>
        <w:spacing w:line="240" w:lineRule="auto" w:before="100" w:after="0"/>
        <w:ind w:left="2337" w:right="1781" w:hanging="540"/>
        <w:jc w:val="left"/>
        <w:rPr>
          <w:sz w:val="20"/>
        </w:rPr>
      </w:pPr>
      <w:r>
        <w:rPr>
          <w:sz w:val="20"/>
        </w:rPr>
        <w:t>each non-originating material used in the production of the good undergoes the</w:t>
      </w:r>
      <w:r>
        <w:rPr>
          <w:spacing w:val="-27"/>
          <w:sz w:val="20"/>
        </w:rPr>
        <w:t> </w:t>
      </w:r>
      <w:r>
        <w:rPr>
          <w:sz w:val="20"/>
        </w:rPr>
        <w:t>required classification change specified against the HS tariff classification of the good in the Schedule 1 tariff table;</w:t>
      </w:r>
      <w:r>
        <w:rPr>
          <w:spacing w:val="-5"/>
          <w:sz w:val="20"/>
        </w:rPr>
        <w:t> </w:t>
      </w:r>
      <w:r>
        <w:rPr>
          <w:sz w:val="20"/>
        </w:rPr>
        <w:t>or</w:t>
      </w:r>
    </w:p>
    <w:p>
      <w:pPr>
        <w:pStyle w:val="ListParagraph"/>
        <w:numPr>
          <w:ilvl w:val="0"/>
          <w:numId w:val="7"/>
        </w:numPr>
        <w:tabs>
          <w:tab w:pos="2337" w:val="left" w:leader="none"/>
          <w:tab w:pos="2338" w:val="left" w:leader="none"/>
        </w:tabs>
        <w:spacing w:line="240" w:lineRule="auto" w:before="101" w:after="0"/>
        <w:ind w:left="2337" w:right="1698" w:hanging="540"/>
        <w:jc w:val="left"/>
        <w:rPr>
          <w:sz w:val="20"/>
        </w:rPr>
      </w:pPr>
      <w:r>
        <w:rPr>
          <w:sz w:val="20"/>
        </w:rPr>
        <w:t>the total value of the non-originating materials that do not meet the required classification change and that are used to produce the goods does not exceed 10% of the customs value of the</w:t>
      </w:r>
      <w:r>
        <w:rPr>
          <w:spacing w:val="-4"/>
          <w:sz w:val="20"/>
        </w:rPr>
        <w:t> </w:t>
      </w:r>
      <w:r>
        <w:rPr>
          <w:sz w:val="20"/>
        </w:rPr>
        <w:t>good.</w:t>
      </w:r>
    </w:p>
    <w:p>
      <w:pPr>
        <w:pStyle w:val="BodyText"/>
        <w:spacing w:before="180"/>
        <w:ind w:right="1800"/>
      </w:pPr>
      <w:r>
        <w:rPr/>
        <w:t>The CTC requirement applies only to non-originating materials used to produce the good, and requires the HS tariff classification of a non-originating material to differ from the HS tariff classification of the good produced from that non-originating material.</w:t>
      </w:r>
    </w:p>
    <w:p>
      <w:pPr>
        <w:pStyle w:val="ListParagraph"/>
        <w:numPr>
          <w:ilvl w:val="0"/>
          <w:numId w:val="5"/>
        </w:numPr>
        <w:tabs>
          <w:tab w:pos="2337" w:val="left" w:leader="none"/>
          <w:tab w:pos="2338" w:val="left" w:leader="none"/>
        </w:tabs>
        <w:spacing w:line="240" w:lineRule="auto" w:before="195" w:after="0"/>
        <w:ind w:left="2337" w:right="0" w:hanging="541"/>
        <w:jc w:val="left"/>
        <w:rPr>
          <w:i/>
          <w:sz w:val="20"/>
        </w:rPr>
      </w:pPr>
      <w:r>
        <w:rPr>
          <w:i/>
          <w:sz w:val="20"/>
        </w:rPr>
        <w:t>RVC</w:t>
      </w:r>
      <w:r>
        <w:rPr>
          <w:i/>
          <w:spacing w:val="-2"/>
          <w:sz w:val="20"/>
        </w:rPr>
        <w:t> </w:t>
      </w:r>
      <w:r>
        <w:rPr>
          <w:i/>
          <w:sz w:val="20"/>
        </w:rPr>
        <w:t>Requirement</w:t>
      </w:r>
    </w:p>
    <w:p>
      <w:pPr>
        <w:pStyle w:val="BodyText"/>
        <w:spacing w:before="179"/>
        <w:ind w:right="1889"/>
      </w:pPr>
      <w:r>
        <w:rPr/>
        <w:t>For some goods, a RVC requirement is compulsory. For others, a RVC requirement is optional.</w:t>
      </w:r>
    </w:p>
    <w:p>
      <w:pPr>
        <w:pStyle w:val="BodyText"/>
        <w:spacing w:before="179"/>
        <w:ind w:right="1889"/>
      </w:pPr>
      <w:r>
        <w:rPr/>
        <w:t>In most cases, the RVC is 40% or 45%. For textiles, clothing and footwear, the RVC is generally 55%.</w:t>
      </w:r>
    </w:p>
    <w:p>
      <w:pPr>
        <w:pStyle w:val="BodyText"/>
        <w:spacing w:before="180"/>
      </w:pPr>
      <w:r>
        <w:rPr/>
        <w:t>The RVC is calculated by using the following formula:</w:t>
      </w:r>
    </w:p>
    <w:p>
      <w:pPr>
        <w:pStyle w:val="BodyText"/>
        <w:spacing w:line="230" w:lineRule="exact" w:before="180"/>
        <w:ind w:left="554" w:right="2167"/>
        <w:jc w:val="center"/>
      </w:pPr>
      <w:r>
        <w:rPr/>
        <w:t>RVC = </w:t>
      </w:r>
      <w:r>
        <w:rPr>
          <w:u w:val="single"/>
        </w:rPr>
        <w:t>customs value – value of non-originating materials</w:t>
      </w:r>
      <w:r>
        <w:rPr/>
        <w:t> x 100</w:t>
      </w:r>
    </w:p>
    <w:p>
      <w:pPr>
        <w:pStyle w:val="BodyText"/>
        <w:spacing w:line="230" w:lineRule="exact" w:before="0"/>
        <w:ind w:left="2269" w:right="4635"/>
        <w:jc w:val="center"/>
      </w:pPr>
      <w:r>
        <w:rPr/>
        <w:t>customs value</w:t>
      </w:r>
    </w:p>
    <w:p>
      <w:pPr>
        <w:spacing w:after="0" w:line="230" w:lineRule="exact"/>
        <w:jc w:val="center"/>
        <w:sectPr>
          <w:headerReference w:type="default" r:id="rId7"/>
          <w:pgSz w:w="11900" w:h="16840"/>
          <w:pgMar w:header="714" w:footer="0" w:top="920" w:bottom="280" w:left="0" w:right="0"/>
          <w:pgNumType w:start="2"/>
        </w:sectPr>
      </w:pPr>
    </w:p>
    <w:p>
      <w:pPr>
        <w:pStyle w:val="BodyText"/>
        <w:spacing w:before="4"/>
        <w:ind w:left="0"/>
        <w:rPr>
          <w:sz w:val="19"/>
        </w:rPr>
      </w:pPr>
    </w:p>
    <w:p>
      <w:pPr>
        <w:pStyle w:val="BodyText"/>
        <w:spacing w:before="94"/>
        <w:ind w:left="2157"/>
      </w:pPr>
      <w:r>
        <w:rPr/>
        <w:t>where:</w:t>
      </w:r>
    </w:p>
    <w:p>
      <w:pPr>
        <w:spacing w:before="181"/>
        <w:ind w:left="2157" w:right="2196" w:firstLine="0"/>
        <w:jc w:val="left"/>
        <w:rPr>
          <w:sz w:val="20"/>
        </w:rPr>
      </w:pPr>
      <w:r>
        <w:rPr>
          <w:i/>
          <w:sz w:val="20"/>
        </w:rPr>
        <w:t>customs value </w:t>
      </w:r>
      <w:r>
        <w:rPr>
          <w:sz w:val="20"/>
        </w:rPr>
        <w:t>means the customs value of the goods determined in accordance with Division 2 of Part VIII of the </w:t>
      </w:r>
      <w:r>
        <w:rPr>
          <w:i/>
          <w:sz w:val="20"/>
        </w:rPr>
        <w:t>Customs Act 1901</w:t>
      </w:r>
      <w:r>
        <w:rPr>
          <w:sz w:val="20"/>
        </w:rPr>
        <w:t>.</w:t>
      </w:r>
    </w:p>
    <w:p>
      <w:pPr>
        <w:spacing w:before="179"/>
        <w:ind w:left="2157" w:right="0" w:firstLine="0"/>
        <w:jc w:val="both"/>
        <w:rPr>
          <w:sz w:val="20"/>
        </w:rPr>
      </w:pPr>
      <w:r>
        <w:rPr>
          <w:i/>
          <w:sz w:val="20"/>
        </w:rPr>
        <w:t>value of non-originating materials </w:t>
      </w:r>
      <w:r>
        <w:rPr>
          <w:sz w:val="20"/>
        </w:rPr>
        <w:t>means each of the following:</w:t>
      </w:r>
    </w:p>
    <w:p>
      <w:pPr>
        <w:pStyle w:val="ListParagraph"/>
        <w:numPr>
          <w:ilvl w:val="1"/>
          <w:numId w:val="7"/>
        </w:numPr>
        <w:tabs>
          <w:tab w:pos="2698" w:val="left" w:leader="none"/>
        </w:tabs>
        <w:spacing w:line="273" w:lineRule="auto" w:before="123" w:after="0"/>
        <w:ind w:left="2697" w:right="1885" w:hanging="540"/>
        <w:jc w:val="both"/>
        <w:rPr>
          <w:sz w:val="20"/>
        </w:rPr>
      </w:pPr>
      <w:r>
        <w:rPr>
          <w:sz w:val="20"/>
        </w:rPr>
        <w:t>the value of non-originating materials imported into Thailand by the producer of the goods and used in the production of the</w:t>
      </w:r>
      <w:r>
        <w:rPr>
          <w:spacing w:val="-10"/>
          <w:sz w:val="20"/>
        </w:rPr>
        <w:t> </w:t>
      </w:r>
      <w:r>
        <w:rPr>
          <w:sz w:val="20"/>
        </w:rPr>
        <w:t>goods;</w:t>
      </w:r>
    </w:p>
    <w:p>
      <w:pPr>
        <w:pStyle w:val="ListParagraph"/>
        <w:numPr>
          <w:ilvl w:val="1"/>
          <w:numId w:val="7"/>
        </w:numPr>
        <w:tabs>
          <w:tab w:pos="2698" w:val="left" w:leader="none"/>
        </w:tabs>
        <w:spacing w:line="271" w:lineRule="auto" w:before="96" w:after="0"/>
        <w:ind w:left="2697" w:right="2019" w:hanging="540"/>
        <w:jc w:val="both"/>
        <w:rPr>
          <w:sz w:val="20"/>
        </w:rPr>
      </w:pPr>
      <w:r>
        <w:rPr>
          <w:sz w:val="20"/>
        </w:rPr>
        <w:t>the</w:t>
      </w:r>
      <w:r>
        <w:rPr>
          <w:spacing w:val="-4"/>
          <w:sz w:val="20"/>
        </w:rPr>
        <w:t> </w:t>
      </w:r>
      <w:r>
        <w:rPr>
          <w:sz w:val="20"/>
        </w:rPr>
        <w:t>value</w:t>
      </w:r>
      <w:r>
        <w:rPr>
          <w:spacing w:val="-4"/>
          <w:sz w:val="20"/>
        </w:rPr>
        <w:t> </w:t>
      </w:r>
      <w:r>
        <w:rPr>
          <w:sz w:val="20"/>
        </w:rPr>
        <w:t>of</w:t>
      </w:r>
      <w:r>
        <w:rPr>
          <w:spacing w:val="-4"/>
          <w:sz w:val="20"/>
        </w:rPr>
        <w:t> </w:t>
      </w:r>
      <w:r>
        <w:rPr>
          <w:sz w:val="20"/>
        </w:rPr>
        <w:t>non-originating</w:t>
      </w:r>
      <w:r>
        <w:rPr>
          <w:spacing w:val="-5"/>
          <w:sz w:val="20"/>
        </w:rPr>
        <w:t> </w:t>
      </w:r>
      <w:r>
        <w:rPr>
          <w:sz w:val="20"/>
        </w:rPr>
        <w:t>materials</w:t>
      </w:r>
      <w:r>
        <w:rPr>
          <w:spacing w:val="-4"/>
          <w:sz w:val="20"/>
        </w:rPr>
        <w:t> </w:t>
      </w:r>
      <w:r>
        <w:rPr>
          <w:sz w:val="20"/>
        </w:rPr>
        <w:t>imported</w:t>
      </w:r>
      <w:r>
        <w:rPr>
          <w:spacing w:val="-4"/>
          <w:sz w:val="20"/>
        </w:rPr>
        <w:t> </w:t>
      </w:r>
      <w:r>
        <w:rPr>
          <w:sz w:val="20"/>
        </w:rPr>
        <w:t>into</w:t>
      </w:r>
      <w:r>
        <w:rPr>
          <w:spacing w:val="-4"/>
          <w:sz w:val="20"/>
        </w:rPr>
        <w:t> </w:t>
      </w:r>
      <w:r>
        <w:rPr>
          <w:sz w:val="20"/>
        </w:rPr>
        <w:t>Thailand,</w:t>
      </w:r>
      <w:r>
        <w:rPr>
          <w:spacing w:val="-4"/>
          <w:sz w:val="20"/>
        </w:rPr>
        <w:t> </w:t>
      </w:r>
      <w:r>
        <w:rPr>
          <w:sz w:val="20"/>
        </w:rPr>
        <w:t>and</w:t>
      </w:r>
      <w:r>
        <w:rPr>
          <w:spacing w:val="-5"/>
          <w:sz w:val="20"/>
        </w:rPr>
        <w:t> </w:t>
      </w:r>
      <w:r>
        <w:rPr>
          <w:sz w:val="20"/>
        </w:rPr>
        <w:t>acquired</w:t>
      </w:r>
      <w:r>
        <w:rPr>
          <w:spacing w:val="-4"/>
          <w:sz w:val="20"/>
        </w:rPr>
        <w:t> </w:t>
      </w:r>
      <w:r>
        <w:rPr>
          <w:sz w:val="20"/>
        </w:rPr>
        <w:t>by</w:t>
      </w:r>
      <w:r>
        <w:rPr>
          <w:spacing w:val="-4"/>
          <w:sz w:val="20"/>
        </w:rPr>
        <w:t> </w:t>
      </w:r>
      <w:r>
        <w:rPr>
          <w:sz w:val="20"/>
        </w:rPr>
        <w:t>the producer of the goods in the form in which they were imported into Thailand, and used in the production of the</w:t>
      </w:r>
      <w:r>
        <w:rPr>
          <w:spacing w:val="-7"/>
          <w:sz w:val="20"/>
        </w:rPr>
        <w:t> </w:t>
      </w:r>
      <w:r>
        <w:rPr>
          <w:sz w:val="20"/>
        </w:rPr>
        <w:t>goods;</w:t>
      </w:r>
    </w:p>
    <w:p>
      <w:pPr>
        <w:pStyle w:val="ListParagraph"/>
        <w:numPr>
          <w:ilvl w:val="1"/>
          <w:numId w:val="7"/>
        </w:numPr>
        <w:tabs>
          <w:tab w:pos="2698" w:val="left" w:leader="none"/>
          <w:tab w:pos="2699" w:val="left" w:leader="none"/>
        </w:tabs>
        <w:spacing w:line="271" w:lineRule="auto" w:before="100" w:after="0"/>
        <w:ind w:left="2697" w:right="2139" w:hanging="540"/>
        <w:jc w:val="left"/>
        <w:rPr>
          <w:sz w:val="20"/>
        </w:rPr>
      </w:pPr>
      <w:r>
        <w:rPr>
          <w:sz w:val="20"/>
        </w:rPr>
        <w:t>the value of non-originating materials imported into Thailand by the producer in Thailand of other non-originating materials that are used in the production of the goods, and that</w:t>
      </w:r>
      <w:r>
        <w:rPr>
          <w:spacing w:val="-4"/>
          <w:sz w:val="20"/>
        </w:rPr>
        <w:t> </w:t>
      </w:r>
      <w:r>
        <w:rPr>
          <w:sz w:val="20"/>
        </w:rPr>
        <w:t>are:</w:t>
      </w:r>
    </w:p>
    <w:p>
      <w:pPr>
        <w:pStyle w:val="ListParagraph"/>
        <w:numPr>
          <w:ilvl w:val="2"/>
          <w:numId w:val="7"/>
        </w:numPr>
        <w:tabs>
          <w:tab w:pos="3238" w:val="left" w:leader="none"/>
          <w:tab w:pos="3239" w:val="left" w:leader="none"/>
        </w:tabs>
        <w:spacing w:line="240" w:lineRule="auto" w:before="79" w:after="0"/>
        <w:ind w:left="3238" w:right="0" w:hanging="542"/>
        <w:jc w:val="left"/>
        <w:rPr>
          <w:sz w:val="20"/>
        </w:rPr>
      </w:pPr>
      <w:r>
        <w:rPr>
          <w:sz w:val="20"/>
        </w:rPr>
        <w:t>produced using the imported non-originating materials;</w:t>
      </w:r>
      <w:r>
        <w:rPr>
          <w:spacing w:val="-7"/>
          <w:sz w:val="20"/>
        </w:rPr>
        <w:t> </w:t>
      </w:r>
      <w:r>
        <w:rPr>
          <w:sz w:val="20"/>
        </w:rPr>
        <w:t>and</w:t>
      </w:r>
    </w:p>
    <w:p>
      <w:pPr>
        <w:pStyle w:val="ListParagraph"/>
        <w:numPr>
          <w:ilvl w:val="2"/>
          <w:numId w:val="7"/>
        </w:numPr>
        <w:tabs>
          <w:tab w:pos="3237" w:val="left" w:leader="none"/>
          <w:tab w:pos="3238" w:val="left" w:leader="none"/>
        </w:tabs>
        <w:spacing w:line="240" w:lineRule="auto" w:before="100" w:after="0"/>
        <w:ind w:left="3237" w:right="0" w:hanging="541"/>
        <w:jc w:val="left"/>
        <w:rPr>
          <w:sz w:val="20"/>
        </w:rPr>
      </w:pPr>
      <w:r>
        <w:rPr>
          <w:sz w:val="20"/>
        </w:rPr>
        <w:t>supplied directly to the producer of the</w:t>
      </w:r>
      <w:r>
        <w:rPr>
          <w:spacing w:val="-9"/>
          <w:sz w:val="20"/>
        </w:rPr>
        <w:t> </w:t>
      </w:r>
      <w:r>
        <w:rPr>
          <w:sz w:val="20"/>
        </w:rPr>
        <w:t>goods;</w:t>
      </w:r>
    </w:p>
    <w:p>
      <w:pPr>
        <w:pStyle w:val="ListParagraph"/>
        <w:numPr>
          <w:ilvl w:val="1"/>
          <w:numId w:val="7"/>
        </w:numPr>
        <w:tabs>
          <w:tab w:pos="2697" w:val="left" w:leader="none"/>
          <w:tab w:pos="2698" w:val="left" w:leader="none"/>
        </w:tabs>
        <w:spacing w:line="240" w:lineRule="auto" w:before="100" w:after="0"/>
        <w:ind w:left="2697" w:right="1751" w:hanging="540"/>
        <w:jc w:val="left"/>
        <w:rPr>
          <w:sz w:val="20"/>
        </w:rPr>
      </w:pPr>
      <w:r>
        <w:rPr>
          <w:sz w:val="20"/>
        </w:rPr>
        <w:t>the value of non-originating materials imported into Thailand, and acquired, in the form in which they where imported into Thailand, by the producer in Thailand of other non-originating materials that are used in the production of the goods, and that are:</w:t>
      </w:r>
    </w:p>
    <w:p>
      <w:pPr>
        <w:pStyle w:val="ListParagraph"/>
        <w:numPr>
          <w:ilvl w:val="2"/>
          <w:numId w:val="7"/>
        </w:numPr>
        <w:tabs>
          <w:tab w:pos="3238" w:val="left" w:leader="none"/>
          <w:tab w:pos="3239" w:val="left" w:leader="none"/>
        </w:tabs>
        <w:spacing w:line="240" w:lineRule="auto" w:before="100" w:after="0"/>
        <w:ind w:left="3238" w:right="0" w:hanging="542"/>
        <w:jc w:val="left"/>
        <w:rPr>
          <w:sz w:val="20"/>
        </w:rPr>
      </w:pPr>
      <w:r>
        <w:rPr>
          <w:sz w:val="20"/>
        </w:rPr>
        <w:t>produced using the imported non-originating materials;</w:t>
      </w:r>
      <w:r>
        <w:rPr>
          <w:spacing w:val="-7"/>
          <w:sz w:val="20"/>
        </w:rPr>
        <w:t> </w:t>
      </w:r>
      <w:r>
        <w:rPr>
          <w:sz w:val="20"/>
        </w:rPr>
        <w:t>and</w:t>
      </w:r>
    </w:p>
    <w:p>
      <w:pPr>
        <w:pStyle w:val="ListParagraph"/>
        <w:numPr>
          <w:ilvl w:val="2"/>
          <w:numId w:val="7"/>
        </w:numPr>
        <w:tabs>
          <w:tab w:pos="3237" w:val="left" w:leader="none"/>
          <w:tab w:pos="3238" w:val="left" w:leader="none"/>
        </w:tabs>
        <w:spacing w:line="240" w:lineRule="auto" w:before="99" w:after="0"/>
        <w:ind w:left="3237" w:right="0" w:hanging="541"/>
        <w:jc w:val="left"/>
        <w:rPr>
          <w:sz w:val="20"/>
        </w:rPr>
      </w:pPr>
      <w:r>
        <w:rPr>
          <w:sz w:val="20"/>
        </w:rPr>
        <w:t>supplied directly to the producer of the</w:t>
      </w:r>
      <w:r>
        <w:rPr>
          <w:spacing w:val="-9"/>
          <w:sz w:val="20"/>
        </w:rPr>
        <w:t> </w:t>
      </w:r>
      <w:r>
        <w:rPr>
          <w:sz w:val="20"/>
        </w:rPr>
        <w:t>goods.</w:t>
      </w:r>
    </w:p>
    <w:p>
      <w:pPr>
        <w:pStyle w:val="BodyText"/>
        <w:spacing w:before="1"/>
        <w:ind w:left="0"/>
        <w:rPr>
          <w:sz w:val="22"/>
        </w:rPr>
      </w:pPr>
    </w:p>
    <w:p>
      <w:pPr>
        <w:pStyle w:val="ListParagraph"/>
        <w:numPr>
          <w:ilvl w:val="0"/>
          <w:numId w:val="5"/>
        </w:numPr>
        <w:tabs>
          <w:tab w:pos="2337" w:val="left" w:leader="none"/>
          <w:tab w:pos="2338" w:val="left" w:leader="none"/>
        </w:tabs>
        <w:spacing w:line="240" w:lineRule="auto" w:before="0" w:after="0"/>
        <w:ind w:left="2337" w:right="0" w:hanging="541"/>
        <w:jc w:val="left"/>
        <w:rPr>
          <w:i/>
          <w:sz w:val="20"/>
        </w:rPr>
      </w:pPr>
      <w:r>
        <w:rPr>
          <w:i/>
          <w:sz w:val="20"/>
        </w:rPr>
        <w:t>Special provisions for certain textiles, clothing and</w:t>
      </w:r>
      <w:r>
        <w:rPr>
          <w:i/>
          <w:spacing w:val="-8"/>
          <w:sz w:val="20"/>
        </w:rPr>
        <w:t> </w:t>
      </w:r>
      <w:r>
        <w:rPr>
          <w:i/>
          <w:sz w:val="20"/>
        </w:rPr>
        <w:t>footwear</w:t>
      </w:r>
    </w:p>
    <w:p>
      <w:pPr>
        <w:pStyle w:val="BodyText"/>
        <w:spacing w:before="180"/>
        <w:ind w:right="1833"/>
      </w:pPr>
      <w:r>
        <w:rPr/>
        <w:t>For goods classified in HS Chapters 50 to 64, the value of non-originating materials produced in developing countries can be deducted from the value of non-originating materials used to produce the goods, up to a maximum of 25% of the customs value of the goods. For the purpose of this provision, “developing countries” are those countries and places listed in Schedule 1 of the </w:t>
      </w:r>
      <w:r>
        <w:rPr>
          <w:i/>
        </w:rPr>
        <w:t>Customs Tariff Act 1995 </w:t>
      </w:r>
      <w:r>
        <w:rPr/>
        <w:t>as at 1 January 2005.</w:t>
      </w:r>
    </w:p>
    <w:p>
      <w:pPr>
        <w:pStyle w:val="ListParagraph"/>
        <w:numPr>
          <w:ilvl w:val="0"/>
          <w:numId w:val="5"/>
        </w:numPr>
        <w:tabs>
          <w:tab w:pos="2337" w:val="left" w:leader="none"/>
          <w:tab w:pos="2338" w:val="left" w:leader="none"/>
        </w:tabs>
        <w:spacing w:line="240" w:lineRule="auto" w:before="194" w:after="0"/>
        <w:ind w:left="2337" w:right="0" w:hanging="541"/>
        <w:jc w:val="left"/>
        <w:rPr>
          <w:i/>
          <w:sz w:val="20"/>
        </w:rPr>
      </w:pPr>
      <w:r>
        <w:rPr>
          <w:i/>
          <w:sz w:val="20"/>
        </w:rPr>
        <w:t>Other</w:t>
      </w:r>
      <w:r>
        <w:rPr>
          <w:i/>
          <w:spacing w:val="-2"/>
          <w:sz w:val="20"/>
        </w:rPr>
        <w:t> </w:t>
      </w:r>
      <w:r>
        <w:rPr>
          <w:i/>
          <w:sz w:val="20"/>
        </w:rPr>
        <w:t>Requirements</w:t>
      </w:r>
    </w:p>
    <w:p>
      <w:pPr>
        <w:pStyle w:val="BodyText"/>
        <w:spacing w:before="179"/>
        <w:ind w:right="1745"/>
      </w:pPr>
      <w:r>
        <w:rPr/>
        <w:t>The Schedule 1 tariff table in the TAFTA Regulations may also specify other requirements that must be met. As most of those requirements specify particular processes that must be performed in Thailand, or Thailand and Australia, they are often referred to as “process requirements”. Where specified, a process requirement will be either compulsory or optional.</w:t>
      </w:r>
    </w:p>
    <w:p>
      <w:pPr>
        <w:spacing w:before="182"/>
        <w:ind w:left="1797" w:right="0" w:firstLine="0"/>
        <w:jc w:val="left"/>
        <w:rPr>
          <w:i/>
          <w:sz w:val="20"/>
        </w:rPr>
      </w:pPr>
      <w:r>
        <w:rPr>
          <w:i/>
          <w:sz w:val="20"/>
          <w:u w:val="single"/>
        </w:rPr>
        <w:t>Category 3: Goods that are chemicals, plastics or rubber</w:t>
      </w:r>
    </w:p>
    <w:p>
      <w:pPr>
        <w:pStyle w:val="BodyText"/>
        <w:spacing w:before="178"/>
        <w:ind w:right="2089"/>
        <w:rPr>
          <w:i/>
        </w:rPr>
      </w:pPr>
      <w:r>
        <w:rPr/>
        <w:t>There are special rules to determine whether goods classified within HS Chapters 28 to 40 (chemicals, plastics or rubber) are </w:t>
      </w:r>
      <w:r>
        <w:rPr>
          <w:i/>
        </w:rPr>
        <w:t>Thai originating goods.</w:t>
      </w:r>
    </w:p>
    <w:p>
      <w:pPr>
        <w:pStyle w:val="BodyText"/>
        <w:spacing w:before="180"/>
        <w:ind w:right="1766"/>
      </w:pPr>
      <w:r>
        <w:rPr/>
        <w:t>The special rules require the goods to be produced entirely in Thailand or entirely in Thailand or Australia and be the product of a chemical reaction, as defined in the TAFTA Regulations. The importer of the goods must also hold, at the time the goods are imported, a Certificate of Origin, or a copy of one, for the goods.</w:t>
      </w:r>
    </w:p>
    <w:p>
      <w:pPr>
        <w:pStyle w:val="Heading1"/>
      </w:pPr>
      <w:bookmarkStart w:name="Other provisions" w:id="5"/>
      <w:bookmarkEnd w:id="5"/>
      <w:r>
        <w:rPr>
          <w:b w:val="0"/>
          <w:i w:val="0"/>
        </w:rPr>
      </w:r>
      <w:r>
        <w:rPr/>
        <w:t>Other provisions</w:t>
      </w:r>
    </w:p>
    <w:p>
      <w:pPr>
        <w:pStyle w:val="ListParagraph"/>
        <w:numPr>
          <w:ilvl w:val="0"/>
          <w:numId w:val="8"/>
        </w:numPr>
        <w:tabs>
          <w:tab w:pos="2158" w:val="left" w:leader="none"/>
        </w:tabs>
        <w:spacing w:line="240" w:lineRule="auto" w:before="178" w:after="0"/>
        <w:ind w:left="2157" w:right="0" w:hanging="361"/>
        <w:jc w:val="left"/>
        <w:rPr>
          <w:i/>
          <w:sz w:val="20"/>
        </w:rPr>
      </w:pPr>
      <w:r>
        <w:rPr>
          <w:i/>
          <w:sz w:val="20"/>
          <w:u w:val="single"/>
        </w:rPr>
        <w:t>Standard accessories, spare parts and</w:t>
      </w:r>
      <w:r>
        <w:rPr>
          <w:i/>
          <w:spacing w:val="-5"/>
          <w:sz w:val="20"/>
          <w:u w:val="single"/>
        </w:rPr>
        <w:t> </w:t>
      </w:r>
      <w:r>
        <w:rPr>
          <w:i/>
          <w:sz w:val="20"/>
          <w:u w:val="single"/>
        </w:rPr>
        <w:t>tools</w:t>
      </w:r>
    </w:p>
    <w:p>
      <w:pPr>
        <w:pStyle w:val="BodyText"/>
        <w:spacing w:before="181"/>
        <w:ind w:right="2001"/>
      </w:pPr>
      <w:r>
        <w:rPr/>
        <w:t>Where goods (underlying goods) are imported into Australia together with standard accessories, standard spare parts or standard tools, those accessories, spare parts or tools will be </w:t>
      </w:r>
      <w:r>
        <w:rPr>
          <w:i/>
        </w:rPr>
        <w:t>Thai originating goods </w:t>
      </w:r>
      <w:r>
        <w:rPr/>
        <w:t>if:</w:t>
      </w:r>
    </w:p>
    <w:p>
      <w:pPr>
        <w:pStyle w:val="ListParagraph"/>
        <w:numPr>
          <w:ilvl w:val="0"/>
          <w:numId w:val="9"/>
        </w:numPr>
        <w:tabs>
          <w:tab w:pos="2337" w:val="left" w:leader="none"/>
          <w:tab w:pos="2338" w:val="left" w:leader="none"/>
        </w:tabs>
        <w:spacing w:line="240" w:lineRule="auto" w:before="123" w:after="0"/>
        <w:ind w:left="2337" w:right="0" w:hanging="541"/>
        <w:jc w:val="left"/>
        <w:rPr>
          <w:sz w:val="20"/>
        </w:rPr>
      </w:pPr>
      <w:r>
        <w:rPr>
          <w:sz w:val="20"/>
        </w:rPr>
        <w:t>the underlying goods are </w:t>
      </w:r>
      <w:r>
        <w:rPr>
          <w:i/>
          <w:sz w:val="20"/>
        </w:rPr>
        <w:t>Thai originating goods</w:t>
      </w:r>
      <w:r>
        <w:rPr>
          <w:sz w:val="20"/>
        </w:rPr>
        <w:t>;</w:t>
      </w:r>
      <w:r>
        <w:rPr>
          <w:spacing w:val="-8"/>
          <w:sz w:val="20"/>
        </w:rPr>
        <w:t> </w:t>
      </w:r>
      <w:r>
        <w:rPr>
          <w:sz w:val="20"/>
        </w:rPr>
        <w:t>and</w:t>
      </w:r>
    </w:p>
    <w:p>
      <w:pPr>
        <w:pStyle w:val="ListParagraph"/>
        <w:numPr>
          <w:ilvl w:val="0"/>
          <w:numId w:val="9"/>
        </w:numPr>
        <w:tabs>
          <w:tab w:pos="2338" w:val="left" w:leader="none"/>
          <w:tab w:pos="2339" w:val="left" w:leader="none"/>
        </w:tabs>
        <w:spacing w:line="273" w:lineRule="auto" w:before="129" w:after="0"/>
        <w:ind w:left="2337" w:right="2134" w:hanging="540"/>
        <w:jc w:val="left"/>
        <w:rPr>
          <w:sz w:val="20"/>
        </w:rPr>
      </w:pPr>
      <w:r>
        <w:rPr>
          <w:sz w:val="20"/>
        </w:rPr>
        <w:t>the</w:t>
      </w:r>
      <w:r>
        <w:rPr>
          <w:spacing w:val="-4"/>
          <w:sz w:val="20"/>
        </w:rPr>
        <w:t> </w:t>
      </w:r>
      <w:r>
        <w:rPr>
          <w:sz w:val="20"/>
        </w:rPr>
        <w:t>accessories,</w:t>
      </w:r>
      <w:r>
        <w:rPr>
          <w:spacing w:val="-4"/>
          <w:sz w:val="20"/>
        </w:rPr>
        <w:t> </w:t>
      </w:r>
      <w:r>
        <w:rPr>
          <w:sz w:val="20"/>
        </w:rPr>
        <w:t>spare</w:t>
      </w:r>
      <w:r>
        <w:rPr>
          <w:spacing w:val="-4"/>
          <w:sz w:val="20"/>
        </w:rPr>
        <w:t> </w:t>
      </w:r>
      <w:r>
        <w:rPr>
          <w:sz w:val="20"/>
        </w:rPr>
        <w:t>parts</w:t>
      </w:r>
      <w:r>
        <w:rPr>
          <w:spacing w:val="-3"/>
          <w:sz w:val="20"/>
        </w:rPr>
        <w:t> </w:t>
      </w:r>
      <w:r>
        <w:rPr>
          <w:sz w:val="20"/>
        </w:rPr>
        <w:t>or</w:t>
      </w:r>
      <w:r>
        <w:rPr>
          <w:spacing w:val="-4"/>
          <w:sz w:val="20"/>
        </w:rPr>
        <w:t> </w:t>
      </w:r>
      <w:r>
        <w:rPr>
          <w:sz w:val="20"/>
        </w:rPr>
        <w:t>tools</w:t>
      </w:r>
      <w:r>
        <w:rPr>
          <w:spacing w:val="-4"/>
          <w:sz w:val="20"/>
        </w:rPr>
        <w:t> </w:t>
      </w:r>
      <w:r>
        <w:rPr>
          <w:sz w:val="20"/>
        </w:rPr>
        <w:t>are</w:t>
      </w:r>
      <w:r>
        <w:rPr>
          <w:spacing w:val="-4"/>
          <w:sz w:val="20"/>
        </w:rPr>
        <w:t> </w:t>
      </w:r>
      <w:r>
        <w:rPr>
          <w:sz w:val="20"/>
        </w:rPr>
        <w:t>not</w:t>
      </w:r>
      <w:r>
        <w:rPr>
          <w:spacing w:val="-3"/>
          <w:sz w:val="20"/>
        </w:rPr>
        <w:t> </w:t>
      </w:r>
      <w:r>
        <w:rPr>
          <w:sz w:val="20"/>
        </w:rPr>
        <w:t>invoiced</w:t>
      </w:r>
      <w:r>
        <w:rPr>
          <w:spacing w:val="-4"/>
          <w:sz w:val="20"/>
        </w:rPr>
        <w:t> </w:t>
      </w:r>
      <w:r>
        <w:rPr>
          <w:sz w:val="20"/>
        </w:rPr>
        <w:t>separately</w:t>
      </w:r>
      <w:r>
        <w:rPr>
          <w:spacing w:val="-4"/>
          <w:sz w:val="20"/>
        </w:rPr>
        <w:t> </w:t>
      </w:r>
      <w:r>
        <w:rPr>
          <w:sz w:val="20"/>
        </w:rPr>
        <w:t>from</w:t>
      </w:r>
      <w:r>
        <w:rPr>
          <w:spacing w:val="-4"/>
          <w:sz w:val="20"/>
        </w:rPr>
        <w:t> </w:t>
      </w:r>
      <w:r>
        <w:rPr>
          <w:sz w:val="20"/>
        </w:rPr>
        <w:t>the</w:t>
      </w:r>
      <w:r>
        <w:rPr>
          <w:spacing w:val="-3"/>
          <w:sz w:val="20"/>
        </w:rPr>
        <w:t> </w:t>
      </w:r>
      <w:r>
        <w:rPr>
          <w:sz w:val="20"/>
        </w:rPr>
        <w:t>underlying goods;</w:t>
      </w:r>
      <w:r>
        <w:rPr>
          <w:spacing w:val="-1"/>
          <w:sz w:val="20"/>
        </w:rPr>
        <w:t> </w:t>
      </w:r>
      <w:r>
        <w:rPr>
          <w:sz w:val="20"/>
        </w:rPr>
        <w:t>and</w:t>
      </w:r>
    </w:p>
    <w:p>
      <w:pPr>
        <w:spacing w:after="0" w:line="273" w:lineRule="auto"/>
        <w:jc w:val="left"/>
        <w:rPr>
          <w:sz w:val="20"/>
        </w:rPr>
        <w:sectPr>
          <w:pgSz w:w="11900" w:h="16840"/>
          <w:pgMar w:header="714" w:footer="0" w:top="920" w:bottom="280" w:left="0" w:right="0"/>
        </w:sectPr>
      </w:pPr>
    </w:p>
    <w:p>
      <w:pPr>
        <w:pStyle w:val="BodyText"/>
        <w:spacing w:before="4"/>
        <w:ind w:left="0"/>
        <w:rPr>
          <w:sz w:val="21"/>
        </w:rPr>
      </w:pPr>
    </w:p>
    <w:p>
      <w:pPr>
        <w:pStyle w:val="ListParagraph"/>
        <w:numPr>
          <w:ilvl w:val="0"/>
          <w:numId w:val="9"/>
        </w:numPr>
        <w:tabs>
          <w:tab w:pos="2338" w:val="left" w:leader="none"/>
          <w:tab w:pos="2339" w:val="left" w:leader="none"/>
        </w:tabs>
        <w:spacing w:line="271" w:lineRule="auto" w:before="94" w:after="0"/>
        <w:ind w:left="2337" w:right="2414" w:hanging="540"/>
        <w:jc w:val="left"/>
        <w:rPr>
          <w:sz w:val="20"/>
        </w:rPr>
      </w:pPr>
      <w:r>
        <w:rPr>
          <w:sz w:val="20"/>
        </w:rPr>
        <w:t>the</w:t>
      </w:r>
      <w:r>
        <w:rPr>
          <w:spacing w:val="-3"/>
          <w:sz w:val="20"/>
        </w:rPr>
        <w:t> </w:t>
      </w:r>
      <w:r>
        <w:rPr>
          <w:sz w:val="20"/>
        </w:rPr>
        <w:t>quantities</w:t>
      </w:r>
      <w:r>
        <w:rPr>
          <w:spacing w:val="-3"/>
          <w:sz w:val="20"/>
        </w:rPr>
        <w:t> </w:t>
      </w:r>
      <w:r>
        <w:rPr>
          <w:sz w:val="20"/>
        </w:rPr>
        <w:t>and</w:t>
      </w:r>
      <w:r>
        <w:rPr>
          <w:spacing w:val="-3"/>
          <w:sz w:val="20"/>
        </w:rPr>
        <w:t> </w:t>
      </w:r>
      <w:r>
        <w:rPr>
          <w:sz w:val="20"/>
        </w:rPr>
        <w:t>the</w:t>
      </w:r>
      <w:r>
        <w:rPr>
          <w:spacing w:val="-3"/>
          <w:sz w:val="20"/>
        </w:rPr>
        <w:t> </w:t>
      </w:r>
      <w:r>
        <w:rPr>
          <w:sz w:val="20"/>
        </w:rPr>
        <w:t>value</w:t>
      </w:r>
      <w:r>
        <w:rPr>
          <w:spacing w:val="-3"/>
          <w:sz w:val="20"/>
        </w:rPr>
        <w:t> </w:t>
      </w:r>
      <w:r>
        <w:rPr>
          <w:sz w:val="20"/>
        </w:rPr>
        <w:t>of</w:t>
      </w:r>
      <w:r>
        <w:rPr>
          <w:spacing w:val="-3"/>
          <w:sz w:val="20"/>
        </w:rPr>
        <w:t> </w:t>
      </w:r>
      <w:r>
        <w:rPr>
          <w:sz w:val="20"/>
        </w:rPr>
        <w:t>the</w:t>
      </w:r>
      <w:r>
        <w:rPr>
          <w:spacing w:val="-3"/>
          <w:sz w:val="20"/>
        </w:rPr>
        <w:t> </w:t>
      </w:r>
      <w:r>
        <w:rPr>
          <w:sz w:val="20"/>
        </w:rPr>
        <w:t>accessories,</w:t>
      </w:r>
      <w:r>
        <w:rPr>
          <w:spacing w:val="-3"/>
          <w:sz w:val="20"/>
        </w:rPr>
        <w:t> </w:t>
      </w:r>
      <w:r>
        <w:rPr>
          <w:sz w:val="20"/>
        </w:rPr>
        <w:t>spare</w:t>
      </w:r>
      <w:r>
        <w:rPr>
          <w:spacing w:val="-3"/>
          <w:sz w:val="20"/>
        </w:rPr>
        <w:t> </w:t>
      </w:r>
      <w:r>
        <w:rPr>
          <w:sz w:val="20"/>
        </w:rPr>
        <w:t>parts</w:t>
      </w:r>
      <w:r>
        <w:rPr>
          <w:spacing w:val="-4"/>
          <w:sz w:val="20"/>
        </w:rPr>
        <w:t> </w:t>
      </w:r>
      <w:r>
        <w:rPr>
          <w:sz w:val="20"/>
        </w:rPr>
        <w:t>or</w:t>
      </w:r>
      <w:r>
        <w:rPr>
          <w:spacing w:val="-3"/>
          <w:sz w:val="20"/>
        </w:rPr>
        <w:t> </w:t>
      </w:r>
      <w:r>
        <w:rPr>
          <w:sz w:val="20"/>
        </w:rPr>
        <w:t>tools</w:t>
      </w:r>
      <w:r>
        <w:rPr>
          <w:spacing w:val="-2"/>
          <w:sz w:val="20"/>
        </w:rPr>
        <w:t> </w:t>
      </w:r>
      <w:r>
        <w:rPr>
          <w:sz w:val="20"/>
        </w:rPr>
        <w:t>are</w:t>
      </w:r>
      <w:r>
        <w:rPr>
          <w:spacing w:val="-3"/>
          <w:sz w:val="20"/>
        </w:rPr>
        <w:t> </w:t>
      </w:r>
      <w:r>
        <w:rPr>
          <w:sz w:val="20"/>
        </w:rPr>
        <w:t>the</w:t>
      </w:r>
      <w:r>
        <w:rPr>
          <w:spacing w:val="-3"/>
          <w:sz w:val="20"/>
        </w:rPr>
        <w:t> </w:t>
      </w:r>
      <w:r>
        <w:rPr>
          <w:sz w:val="20"/>
        </w:rPr>
        <w:t>usual quantities and value in relation to the underlying</w:t>
      </w:r>
      <w:r>
        <w:rPr>
          <w:spacing w:val="-12"/>
          <w:sz w:val="20"/>
        </w:rPr>
        <w:t> </w:t>
      </w:r>
      <w:r>
        <w:rPr>
          <w:sz w:val="20"/>
        </w:rPr>
        <w:t>goods.</w:t>
      </w:r>
    </w:p>
    <w:p>
      <w:pPr>
        <w:pStyle w:val="BodyText"/>
        <w:spacing w:before="158"/>
        <w:ind w:right="1856" w:hanging="1"/>
      </w:pPr>
      <w:r>
        <w:rPr/>
        <w:t>Where the underlying good must satisfy a RVC requirement to be </w:t>
      </w:r>
      <w:r>
        <w:rPr>
          <w:i/>
        </w:rPr>
        <w:t>Thai originating goods</w:t>
      </w:r>
      <w:r>
        <w:rPr/>
        <w:t>, the value of the accessories, spare parts or tools must be taken into account when satisfying that requirement. Regulation 4.1 of the TAFTA Regulations prescribes how the value of the accessories, spare parts or tools is to be determined.</w:t>
      </w:r>
    </w:p>
    <w:p>
      <w:pPr>
        <w:pStyle w:val="BodyText"/>
        <w:spacing w:before="180"/>
        <w:ind w:right="1756"/>
      </w:pPr>
      <w:r>
        <w:rPr/>
        <w:t>The accessories, spare parts or tools will not be </w:t>
      </w:r>
      <w:r>
        <w:rPr>
          <w:i/>
        </w:rPr>
        <w:t>Thai originating goods </w:t>
      </w:r>
      <w:r>
        <w:rPr/>
        <w:t>if they are imported with the underlying goods solely for the purpose of artificially raising the RVC of the underlying goods.</w:t>
      </w:r>
    </w:p>
    <w:p>
      <w:pPr>
        <w:pStyle w:val="ListParagraph"/>
        <w:numPr>
          <w:ilvl w:val="0"/>
          <w:numId w:val="8"/>
        </w:numPr>
        <w:tabs>
          <w:tab w:pos="2158" w:val="left" w:leader="none"/>
        </w:tabs>
        <w:spacing w:line="240" w:lineRule="auto" w:before="180" w:after="0"/>
        <w:ind w:left="2157" w:right="0" w:hanging="361"/>
        <w:jc w:val="left"/>
        <w:rPr>
          <w:i/>
          <w:sz w:val="20"/>
        </w:rPr>
      </w:pPr>
      <w:r>
        <w:rPr>
          <w:i/>
          <w:sz w:val="20"/>
          <w:u w:val="single"/>
        </w:rPr>
        <w:t>Packaging materials and</w:t>
      </w:r>
      <w:r>
        <w:rPr>
          <w:i/>
          <w:spacing w:val="-5"/>
          <w:sz w:val="20"/>
          <w:u w:val="single"/>
        </w:rPr>
        <w:t> </w:t>
      </w:r>
      <w:r>
        <w:rPr>
          <w:i/>
          <w:sz w:val="20"/>
          <w:u w:val="single"/>
        </w:rPr>
        <w:t>containers</w:t>
      </w:r>
    </w:p>
    <w:p>
      <w:pPr>
        <w:pStyle w:val="BodyText"/>
        <w:spacing w:before="180"/>
        <w:ind w:right="1967"/>
      </w:pPr>
      <w:r>
        <w:rPr/>
        <w:t>Where goods are packaged for retail sale in packaging material or a container, and the packaging material or container is classified with the goods in accordance with Rule 5 of the Interpretation Rules of the Tariff, the packaging material or container is to be disregarded when determining origin, other than where an RVC requirement applies to the goods.</w:t>
      </w:r>
    </w:p>
    <w:p>
      <w:pPr>
        <w:pStyle w:val="BodyText"/>
        <w:spacing w:before="179"/>
        <w:ind w:right="1878"/>
      </w:pPr>
      <w:r>
        <w:rPr/>
        <w:t>Where goods must satisfy a RVC requirement to be </w:t>
      </w:r>
      <w:r>
        <w:rPr>
          <w:i/>
        </w:rPr>
        <w:t>Thai originating goods</w:t>
      </w:r>
      <w:r>
        <w:rPr/>
        <w:t>, the value of the packaging material or container must be taken into account in satisfying that requirement. Regulation 4.1 of the TAFTA Regulations prescribes how the value of the packaging material or container is to be determined.</w:t>
      </w:r>
    </w:p>
    <w:p>
      <w:pPr>
        <w:pStyle w:val="ListParagraph"/>
        <w:numPr>
          <w:ilvl w:val="0"/>
          <w:numId w:val="8"/>
        </w:numPr>
        <w:tabs>
          <w:tab w:pos="2158" w:val="left" w:leader="none"/>
        </w:tabs>
        <w:spacing w:line="240" w:lineRule="auto" w:before="182" w:after="0"/>
        <w:ind w:left="2157" w:right="0" w:hanging="361"/>
        <w:jc w:val="left"/>
        <w:rPr>
          <w:i/>
          <w:sz w:val="20"/>
        </w:rPr>
      </w:pPr>
      <w:r>
        <w:rPr>
          <w:i/>
          <w:sz w:val="20"/>
          <w:u w:val="single"/>
        </w:rPr>
        <w:t>Consignment</w:t>
      </w:r>
      <w:r>
        <w:rPr>
          <w:i/>
          <w:spacing w:val="-1"/>
          <w:sz w:val="20"/>
          <w:u w:val="single"/>
        </w:rPr>
        <w:t> </w:t>
      </w:r>
      <w:r>
        <w:rPr>
          <w:i/>
          <w:sz w:val="20"/>
          <w:u w:val="single"/>
        </w:rPr>
        <w:t>rule</w:t>
      </w:r>
    </w:p>
    <w:p>
      <w:pPr>
        <w:spacing w:before="179"/>
        <w:ind w:left="1797" w:right="0" w:firstLine="0"/>
        <w:jc w:val="left"/>
        <w:rPr>
          <w:sz w:val="20"/>
        </w:rPr>
      </w:pPr>
      <w:r>
        <w:rPr>
          <w:sz w:val="20"/>
        </w:rPr>
        <w:t>In addition to the rules specified above, to be </w:t>
      </w:r>
      <w:r>
        <w:rPr>
          <w:i/>
          <w:sz w:val="20"/>
        </w:rPr>
        <w:t>Thai originating goods</w:t>
      </w:r>
      <w:r>
        <w:rPr>
          <w:sz w:val="20"/>
        </w:rPr>
        <w:t>, goods must have been:</w:t>
      </w:r>
    </w:p>
    <w:p>
      <w:pPr>
        <w:pStyle w:val="ListParagraph"/>
        <w:numPr>
          <w:ilvl w:val="0"/>
          <w:numId w:val="10"/>
        </w:numPr>
        <w:tabs>
          <w:tab w:pos="2337" w:val="left" w:leader="none"/>
          <w:tab w:pos="2338" w:val="left" w:leader="none"/>
        </w:tabs>
        <w:spacing w:line="240" w:lineRule="auto" w:before="124" w:after="0"/>
        <w:ind w:left="2337" w:right="0" w:hanging="541"/>
        <w:jc w:val="left"/>
        <w:rPr>
          <w:sz w:val="20"/>
        </w:rPr>
      </w:pPr>
      <w:r>
        <w:rPr>
          <w:sz w:val="20"/>
        </w:rPr>
        <w:t>transported directly to Australia from Thailand;</w:t>
      </w:r>
      <w:r>
        <w:rPr>
          <w:spacing w:val="-8"/>
          <w:sz w:val="20"/>
        </w:rPr>
        <w:t> </w:t>
      </w:r>
      <w:r>
        <w:rPr>
          <w:sz w:val="20"/>
        </w:rPr>
        <w:t>or</w:t>
      </w:r>
    </w:p>
    <w:p>
      <w:pPr>
        <w:pStyle w:val="ListParagraph"/>
        <w:numPr>
          <w:ilvl w:val="0"/>
          <w:numId w:val="10"/>
        </w:numPr>
        <w:tabs>
          <w:tab w:pos="2337" w:val="left" w:leader="none"/>
          <w:tab w:pos="2338" w:val="left" w:leader="none"/>
        </w:tabs>
        <w:spacing w:line="240" w:lineRule="auto" w:before="130" w:after="0"/>
        <w:ind w:left="2337" w:right="0" w:hanging="541"/>
        <w:jc w:val="left"/>
        <w:rPr>
          <w:sz w:val="20"/>
        </w:rPr>
      </w:pPr>
      <w:r>
        <w:rPr>
          <w:sz w:val="20"/>
        </w:rPr>
        <w:t>transported through another country or place,</w:t>
      </w:r>
      <w:r>
        <w:rPr>
          <w:spacing w:val="-9"/>
          <w:sz w:val="20"/>
        </w:rPr>
        <w:t> </w:t>
      </w:r>
      <w:r>
        <w:rPr>
          <w:sz w:val="20"/>
        </w:rPr>
        <w:t>provided:</w:t>
      </w:r>
    </w:p>
    <w:p>
      <w:pPr>
        <w:pStyle w:val="ListParagraph"/>
        <w:numPr>
          <w:ilvl w:val="1"/>
          <w:numId w:val="10"/>
        </w:numPr>
        <w:tabs>
          <w:tab w:pos="2877" w:val="left" w:leader="none"/>
          <w:tab w:pos="2878" w:val="left" w:leader="none"/>
        </w:tabs>
        <w:spacing w:line="271" w:lineRule="auto" w:before="129" w:after="0"/>
        <w:ind w:left="2877" w:right="1750" w:hanging="540"/>
        <w:jc w:val="left"/>
        <w:rPr>
          <w:sz w:val="20"/>
        </w:rPr>
      </w:pPr>
      <w:r>
        <w:rPr>
          <w:sz w:val="20"/>
        </w:rPr>
        <w:t>the</w:t>
      </w:r>
      <w:r>
        <w:rPr>
          <w:spacing w:val="-4"/>
          <w:sz w:val="20"/>
        </w:rPr>
        <w:t> </w:t>
      </w:r>
      <w:r>
        <w:rPr>
          <w:sz w:val="20"/>
        </w:rPr>
        <w:t>good</w:t>
      </w:r>
      <w:r>
        <w:rPr>
          <w:spacing w:val="-3"/>
          <w:sz w:val="20"/>
        </w:rPr>
        <w:t> </w:t>
      </w:r>
      <w:r>
        <w:rPr>
          <w:sz w:val="20"/>
        </w:rPr>
        <w:t>does</w:t>
      </w:r>
      <w:r>
        <w:rPr>
          <w:spacing w:val="-2"/>
          <w:sz w:val="20"/>
        </w:rPr>
        <w:t> </w:t>
      </w:r>
      <w:r>
        <w:rPr>
          <w:sz w:val="20"/>
        </w:rPr>
        <w:t>not</w:t>
      </w:r>
      <w:r>
        <w:rPr>
          <w:spacing w:val="-4"/>
          <w:sz w:val="20"/>
        </w:rPr>
        <w:t> </w:t>
      </w:r>
      <w:r>
        <w:rPr>
          <w:sz w:val="20"/>
        </w:rPr>
        <w:t>undergo</w:t>
      </w:r>
      <w:r>
        <w:rPr>
          <w:spacing w:val="-4"/>
          <w:sz w:val="20"/>
        </w:rPr>
        <w:t> </w:t>
      </w:r>
      <w:r>
        <w:rPr>
          <w:sz w:val="20"/>
        </w:rPr>
        <w:t>operations</w:t>
      </w:r>
      <w:r>
        <w:rPr>
          <w:spacing w:val="-3"/>
          <w:sz w:val="20"/>
        </w:rPr>
        <w:t> </w:t>
      </w:r>
      <w:r>
        <w:rPr>
          <w:sz w:val="20"/>
        </w:rPr>
        <w:t>in</w:t>
      </w:r>
      <w:r>
        <w:rPr>
          <w:spacing w:val="-5"/>
          <w:sz w:val="20"/>
        </w:rPr>
        <w:t> </w:t>
      </w:r>
      <w:r>
        <w:rPr>
          <w:sz w:val="20"/>
        </w:rPr>
        <w:t>that</w:t>
      </w:r>
      <w:r>
        <w:rPr>
          <w:spacing w:val="-3"/>
          <w:sz w:val="20"/>
        </w:rPr>
        <w:t> </w:t>
      </w:r>
      <w:r>
        <w:rPr>
          <w:sz w:val="20"/>
        </w:rPr>
        <w:t>country</w:t>
      </w:r>
      <w:r>
        <w:rPr>
          <w:spacing w:val="-4"/>
          <w:sz w:val="20"/>
        </w:rPr>
        <w:t> </w:t>
      </w:r>
      <w:r>
        <w:rPr>
          <w:sz w:val="20"/>
        </w:rPr>
        <w:t>or</w:t>
      </w:r>
      <w:r>
        <w:rPr>
          <w:spacing w:val="-3"/>
          <w:sz w:val="20"/>
        </w:rPr>
        <w:t> </w:t>
      </w:r>
      <w:r>
        <w:rPr>
          <w:sz w:val="20"/>
        </w:rPr>
        <w:t>place,</w:t>
      </w:r>
      <w:r>
        <w:rPr>
          <w:spacing w:val="-4"/>
          <w:sz w:val="20"/>
        </w:rPr>
        <w:t> </w:t>
      </w:r>
      <w:r>
        <w:rPr>
          <w:sz w:val="20"/>
        </w:rPr>
        <w:t>other</w:t>
      </w:r>
      <w:r>
        <w:rPr>
          <w:spacing w:val="-3"/>
          <w:sz w:val="20"/>
        </w:rPr>
        <w:t> </w:t>
      </w:r>
      <w:r>
        <w:rPr>
          <w:sz w:val="20"/>
        </w:rPr>
        <w:t>than</w:t>
      </w:r>
      <w:r>
        <w:rPr>
          <w:spacing w:val="-3"/>
          <w:sz w:val="20"/>
        </w:rPr>
        <w:t> </w:t>
      </w:r>
      <w:r>
        <w:rPr>
          <w:sz w:val="20"/>
        </w:rPr>
        <w:t>packing, packaging, unloading, reloading or operations to preserve it in good condition or any other operation that is necessary for it to be transported to Australia;</w:t>
      </w:r>
      <w:r>
        <w:rPr>
          <w:spacing w:val="-38"/>
          <w:sz w:val="20"/>
        </w:rPr>
        <w:t> </w:t>
      </w:r>
      <w:r>
        <w:rPr>
          <w:sz w:val="20"/>
        </w:rPr>
        <w:t>and</w:t>
      </w:r>
    </w:p>
    <w:p>
      <w:pPr>
        <w:pStyle w:val="ListParagraph"/>
        <w:numPr>
          <w:ilvl w:val="1"/>
          <w:numId w:val="10"/>
        </w:numPr>
        <w:tabs>
          <w:tab w:pos="2877" w:val="left" w:leader="none"/>
          <w:tab w:pos="2878" w:val="left" w:leader="none"/>
        </w:tabs>
        <w:spacing w:line="240" w:lineRule="auto" w:before="100" w:after="0"/>
        <w:ind w:left="2877" w:right="0" w:hanging="541"/>
        <w:jc w:val="left"/>
        <w:rPr>
          <w:sz w:val="20"/>
        </w:rPr>
      </w:pPr>
      <w:r>
        <w:rPr>
          <w:sz w:val="20"/>
        </w:rPr>
        <w:t>the good is not traded or used in that</w:t>
      </w:r>
      <w:r>
        <w:rPr>
          <w:spacing w:val="-10"/>
          <w:sz w:val="20"/>
        </w:rPr>
        <w:t> </w:t>
      </w:r>
      <w:r>
        <w:rPr>
          <w:sz w:val="20"/>
        </w:rPr>
        <w:t>country.</w:t>
      </w:r>
    </w:p>
    <w:p>
      <w:pPr>
        <w:pStyle w:val="BodyText"/>
        <w:spacing w:before="188"/>
        <w:ind w:right="2095"/>
        <w:jc w:val="both"/>
      </w:pPr>
      <w:r>
        <w:rPr/>
        <w:t>Under the consignment rule, goods stored in a country or place before being imported into Australia will not be </w:t>
      </w:r>
      <w:r>
        <w:rPr>
          <w:i/>
        </w:rPr>
        <w:t>Thai originating goods </w:t>
      </w:r>
      <w:r>
        <w:rPr/>
        <w:t>if that storage was unnecessary to preserve the goods in good condition or to transport the goods to Australia.</w:t>
      </w:r>
    </w:p>
    <w:p>
      <w:pPr>
        <w:pStyle w:val="Heading1"/>
      </w:pPr>
      <w:bookmarkStart w:name="_bookmark1" w:id="6"/>
      <w:bookmarkEnd w:id="6"/>
      <w:r>
        <w:rPr>
          <w:b w:val="0"/>
          <w:i w:val="0"/>
        </w:rPr>
      </w:r>
      <w:bookmarkStart w:name="Certification" w:id="7"/>
      <w:bookmarkEnd w:id="7"/>
      <w:r>
        <w:rPr>
          <w:b w:val="0"/>
          <w:i w:val="0"/>
        </w:rPr>
      </w:r>
      <w:r>
        <w:rPr/>
        <w:t>Certification</w:t>
      </w:r>
    </w:p>
    <w:p>
      <w:pPr>
        <w:pStyle w:val="BodyText"/>
        <w:spacing w:before="177"/>
        <w:jc w:val="both"/>
      </w:pPr>
      <w:r>
        <w:rPr/>
        <w:t>A valid Certificate of Origin is required for each shipment.</w:t>
      </w:r>
    </w:p>
    <w:p>
      <w:pPr>
        <w:pStyle w:val="BodyText"/>
        <w:spacing w:before="1"/>
        <w:ind w:left="0"/>
      </w:pPr>
    </w:p>
    <w:p>
      <w:pPr>
        <w:pStyle w:val="BodyText"/>
        <w:spacing w:before="0"/>
        <w:ind w:right="1900"/>
      </w:pPr>
      <w:r>
        <w:rPr/>
        <w:t>The Thai Department of Foreign Trade and any authorised Thai government body may issue Certificates of Origin.</w:t>
      </w:r>
    </w:p>
    <w:p>
      <w:pPr>
        <w:pStyle w:val="BodyText"/>
        <w:spacing w:before="0"/>
        <w:ind w:left="0"/>
      </w:pPr>
    </w:p>
    <w:p>
      <w:pPr>
        <w:pStyle w:val="BodyText"/>
        <w:spacing w:before="0"/>
        <w:ind w:right="1889"/>
      </w:pPr>
      <w:r>
        <w:rPr/>
        <w:t>An importer needs to hold a valid Certificate of Origin, or a copy of one, when claiming a preferential rate of customs duty.</w:t>
      </w:r>
    </w:p>
    <w:p>
      <w:pPr>
        <w:pStyle w:val="BodyText"/>
        <w:spacing w:before="0"/>
        <w:ind w:left="0"/>
      </w:pPr>
    </w:p>
    <w:p>
      <w:pPr>
        <w:pStyle w:val="BodyText"/>
        <w:spacing w:before="0"/>
        <w:ind w:right="2479"/>
      </w:pPr>
      <w:r>
        <w:rPr/>
        <w:t>An importer will need to provide a Certificate of Origin, or a copy of it, to the Australian Customs Service (Customs), upon request.</w:t>
      </w:r>
    </w:p>
    <w:p>
      <w:pPr>
        <w:pStyle w:val="Heading1"/>
      </w:pPr>
      <w:bookmarkStart w:name="Administration" w:id="8"/>
      <w:bookmarkEnd w:id="8"/>
      <w:r>
        <w:rPr>
          <w:b w:val="0"/>
          <w:i w:val="0"/>
        </w:rPr>
      </w:r>
      <w:r>
        <w:rPr/>
        <w:t>Administration</w:t>
      </w:r>
    </w:p>
    <w:p>
      <w:pPr>
        <w:pStyle w:val="BodyText"/>
        <w:spacing w:before="177"/>
        <w:ind w:right="1679"/>
      </w:pPr>
      <w:r>
        <w:rPr/>
        <w:t>Before claiming preference, importers should take reasonable care to ensure that their goods meet the rules of origin, including the Certification and consignment provisions.</w:t>
      </w:r>
    </w:p>
    <w:p>
      <w:pPr>
        <w:pStyle w:val="Heading1"/>
        <w:spacing w:before="183"/>
      </w:pPr>
      <w:r>
        <w:rPr/>
        <w:t>Additional information</w:t>
      </w:r>
    </w:p>
    <w:p>
      <w:pPr>
        <w:pStyle w:val="BodyText"/>
        <w:spacing w:before="177"/>
        <w:ind w:right="2357"/>
      </w:pPr>
      <w:r>
        <w:rPr/>
        <w:t>The text of TAFTA is available on the Department of Foreign Affairs and Trade website, </w:t>
      </w:r>
      <w:hyperlink r:id="rId8">
        <w:r>
          <w:rPr>
            <w:color w:val="0000FF"/>
            <w:u w:val="single" w:color="0000FF"/>
          </w:rPr>
          <w:t>www.dfat.gov.au</w:t>
        </w:r>
      </w:hyperlink>
      <w:r>
        <w:rPr/>
        <w:t>.</w:t>
      </w:r>
    </w:p>
    <w:p>
      <w:pPr>
        <w:spacing w:after="0"/>
        <w:sectPr>
          <w:pgSz w:w="11900" w:h="16840"/>
          <w:pgMar w:header="714" w:footer="0" w:top="920" w:bottom="280" w:left="0" w:right="0"/>
        </w:sectPr>
      </w:pPr>
    </w:p>
    <w:p>
      <w:pPr>
        <w:pStyle w:val="BodyText"/>
        <w:spacing w:before="4"/>
        <w:ind w:left="0"/>
        <w:rPr>
          <w:sz w:val="19"/>
        </w:rPr>
      </w:pPr>
    </w:p>
    <w:p>
      <w:pPr>
        <w:pStyle w:val="BodyText"/>
        <w:spacing w:before="94"/>
        <w:ind w:right="1889"/>
      </w:pPr>
      <w:r>
        <w:rPr/>
        <w:t>Detailed information on the rules of origin for TAFTA is provided in Division 1D of Part VIII of the Customs Act and in the TAFTA Regulations. A copy of that legislation will be available shortly on </w:t>
      </w:r>
      <w:hyperlink r:id="rId9">
        <w:r>
          <w:rPr>
            <w:color w:val="0000FF"/>
            <w:u w:val="single" w:color="0000FF"/>
          </w:rPr>
          <w:t>http://scaleplus.law.gov.au</w:t>
        </w:r>
      </w:hyperlink>
      <w:r>
        <w:rPr/>
        <w:t>.</w:t>
      </w:r>
    </w:p>
    <w:p>
      <w:pPr>
        <w:pStyle w:val="BodyText"/>
        <w:spacing w:before="180"/>
        <w:ind w:right="1945"/>
      </w:pPr>
      <w:r>
        <w:rPr/>
        <w:t>An Australian Customs Service Manual, Volume 8D, providing details on the TAFTA rules of origin, will be available shortly on the Customs website, </w:t>
      </w:r>
      <w:hyperlink r:id="rId10">
        <w:r>
          <w:rPr>
            <w:color w:val="0000FF"/>
            <w:u w:val="single" w:color="0000FF"/>
          </w:rPr>
          <w:t>www.customs.gov.au</w:t>
        </w:r>
      </w:hyperlink>
      <w:r>
        <w:rPr/>
        <w:t>.</w:t>
      </w:r>
    </w:p>
    <w:p>
      <w:pPr>
        <w:pStyle w:val="BodyText"/>
        <w:spacing w:before="181"/>
        <w:ind w:right="2256"/>
      </w:pPr>
      <w:r>
        <w:rPr/>
        <w:t>Information on the preferential rates of customs duty to apply to </w:t>
      </w:r>
      <w:r>
        <w:rPr>
          <w:i/>
        </w:rPr>
        <w:t>Thai originating goods </w:t>
      </w:r>
      <w:r>
        <w:rPr/>
        <w:t>is provided in ACN No. 2004/47 and 2004/50.</w:t>
      </w:r>
    </w:p>
    <w:p>
      <w:pPr>
        <w:pStyle w:val="BodyText"/>
        <w:spacing w:before="180"/>
        <w:ind w:right="2153"/>
      </w:pPr>
      <w:r>
        <w:rPr/>
        <w:t>Any enquiries in relation to this ACN should be directed to the origin mailbox, </w:t>
      </w:r>
      <w:hyperlink r:id="rId11">
        <w:r>
          <w:rPr>
            <w:color w:val="0000FF"/>
            <w:u w:val="single" w:color="0000FF"/>
          </w:rPr>
          <w:t>origin@customs.gov.au</w:t>
        </w:r>
      </w:hyperlink>
      <w:r>
        <w:rPr/>
        <w:t>, or to Origin, Trade Branch on telephone number (02) 6275 6556.</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7"/>
        <w:ind w:left="0"/>
        <w:rPr>
          <w:sz w:val="29"/>
        </w:rPr>
      </w:pPr>
    </w:p>
    <w:p>
      <w:pPr>
        <w:pStyle w:val="BodyText"/>
        <w:spacing w:line="230" w:lineRule="exact" w:before="1"/>
      </w:pPr>
      <w:r>
        <w:rPr/>
        <w:t>John Arndell</w:t>
      </w:r>
    </w:p>
    <w:p>
      <w:pPr>
        <w:pStyle w:val="BodyText"/>
        <w:spacing w:before="0"/>
        <w:ind w:right="7892"/>
      </w:pPr>
      <w:r>
        <w:rPr/>
        <w:t>Acting National Manager Trade Branch CANBERRA</w:t>
      </w:r>
      <w:r>
        <w:rPr>
          <w:spacing w:val="53"/>
        </w:rPr>
        <w:t> </w:t>
      </w:r>
      <w:r>
        <w:rPr/>
        <w:t>ACT</w:t>
      </w:r>
    </w:p>
    <w:p>
      <w:pPr>
        <w:pStyle w:val="BodyText"/>
        <w:spacing w:before="119"/>
        <w:ind w:left="1963"/>
      </w:pPr>
      <w:r>
        <w:rPr/>
        <w:t>December</w:t>
      </w:r>
      <w:r>
        <w:rPr>
          <w:spacing w:val="-2"/>
        </w:rPr>
        <w:t> </w:t>
      </w:r>
      <w:r>
        <w:rPr/>
        <w:t>2004</w:t>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294.239899pt;margin-top:34.68898pt;width:11.6pt;height:13.2pt;mso-position-horizontal-relative:page;mso-position-vertical-relative:page;z-index:-1583411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2337" w:hanging="541"/>
        <w:jc w:val="left"/>
      </w:pPr>
      <w:rPr>
        <w:rFonts w:hint="default" w:ascii="Arial" w:hAnsi="Arial" w:eastAsia="Arial" w:cs="Arial"/>
        <w:spacing w:val="-1"/>
        <w:w w:val="100"/>
        <w:sz w:val="20"/>
        <w:szCs w:val="20"/>
      </w:rPr>
    </w:lvl>
    <w:lvl w:ilvl="1">
      <w:start w:val="1"/>
      <w:numFmt w:val="lowerRoman"/>
      <w:lvlText w:val="(%2)"/>
      <w:lvlJc w:val="left"/>
      <w:pPr>
        <w:ind w:left="2877" w:hanging="541"/>
        <w:jc w:val="left"/>
      </w:pPr>
      <w:rPr>
        <w:rFonts w:hint="default" w:ascii="Arial" w:hAnsi="Arial" w:eastAsia="Arial" w:cs="Arial"/>
        <w:spacing w:val="-1"/>
        <w:w w:val="100"/>
        <w:sz w:val="20"/>
        <w:szCs w:val="20"/>
      </w:rPr>
    </w:lvl>
    <w:lvl w:ilvl="2">
      <w:start w:val="0"/>
      <w:numFmt w:val="bullet"/>
      <w:lvlText w:val="•"/>
      <w:lvlJc w:val="left"/>
      <w:pPr>
        <w:ind w:left="3882" w:hanging="541"/>
      </w:pPr>
      <w:rPr>
        <w:rFonts w:hint="default"/>
      </w:rPr>
    </w:lvl>
    <w:lvl w:ilvl="3">
      <w:start w:val="0"/>
      <w:numFmt w:val="bullet"/>
      <w:lvlText w:val="•"/>
      <w:lvlJc w:val="left"/>
      <w:pPr>
        <w:ind w:left="4884" w:hanging="541"/>
      </w:pPr>
      <w:rPr>
        <w:rFonts w:hint="default"/>
      </w:rPr>
    </w:lvl>
    <w:lvl w:ilvl="4">
      <w:start w:val="0"/>
      <w:numFmt w:val="bullet"/>
      <w:lvlText w:val="•"/>
      <w:lvlJc w:val="left"/>
      <w:pPr>
        <w:ind w:left="5886" w:hanging="541"/>
      </w:pPr>
      <w:rPr>
        <w:rFonts w:hint="default"/>
      </w:rPr>
    </w:lvl>
    <w:lvl w:ilvl="5">
      <w:start w:val="0"/>
      <w:numFmt w:val="bullet"/>
      <w:lvlText w:val="•"/>
      <w:lvlJc w:val="left"/>
      <w:pPr>
        <w:ind w:left="6888" w:hanging="541"/>
      </w:pPr>
      <w:rPr>
        <w:rFonts w:hint="default"/>
      </w:rPr>
    </w:lvl>
    <w:lvl w:ilvl="6">
      <w:start w:val="0"/>
      <w:numFmt w:val="bullet"/>
      <w:lvlText w:val="•"/>
      <w:lvlJc w:val="left"/>
      <w:pPr>
        <w:ind w:left="7891" w:hanging="541"/>
      </w:pPr>
      <w:rPr>
        <w:rFonts w:hint="default"/>
      </w:rPr>
    </w:lvl>
    <w:lvl w:ilvl="7">
      <w:start w:val="0"/>
      <w:numFmt w:val="bullet"/>
      <w:lvlText w:val="•"/>
      <w:lvlJc w:val="left"/>
      <w:pPr>
        <w:ind w:left="8893" w:hanging="541"/>
      </w:pPr>
      <w:rPr>
        <w:rFonts w:hint="default"/>
      </w:rPr>
    </w:lvl>
    <w:lvl w:ilvl="8">
      <w:start w:val="0"/>
      <w:numFmt w:val="bullet"/>
      <w:lvlText w:val="•"/>
      <w:lvlJc w:val="left"/>
      <w:pPr>
        <w:ind w:left="9895" w:hanging="541"/>
      </w:pPr>
      <w:rPr>
        <w:rFonts w:hint="default"/>
      </w:rPr>
    </w:lvl>
  </w:abstractNum>
  <w:abstractNum w:abstractNumId="8">
    <w:multiLevelType w:val="hybridMultilevel"/>
    <w:lvl w:ilvl="0">
      <w:start w:val="1"/>
      <w:numFmt w:val="lowerLetter"/>
      <w:lvlText w:val="(%1)"/>
      <w:lvlJc w:val="left"/>
      <w:pPr>
        <w:ind w:left="2337" w:hanging="541"/>
        <w:jc w:val="left"/>
      </w:pPr>
      <w:rPr>
        <w:rFonts w:hint="default" w:ascii="Arial" w:hAnsi="Arial" w:eastAsia="Arial" w:cs="Arial"/>
        <w:w w:val="100"/>
        <w:sz w:val="20"/>
        <w:szCs w:val="20"/>
      </w:rPr>
    </w:lvl>
    <w:lvl w:ilvl="1">
      <w:start w:val="0"/>
      <w:numFmt w:val="bullet"/>
      <w:lvlText w:val="•"/>
      <w:lvlJc w:val="left"/>
      <w:pPr>
        <w:ind w:left="3296" w:hanging="541"/>
      </w:pPr>
      <w:rPr>
        <w:rFonts w:hint="default"/>
      </w:rPr>
    </w:lvl>
    <w:lvl w:ilvl="2">
      <w:start w:val="0"/>
      <w:numFmt w:val="bullet"/>
      <w:lvlText w:val="•"/>
      <w:lvlJc w:val="left"/>
      <w:pPr>
        <w:ind w:left="4252" w:hanging="541"/>
      </w:pPr>
      <w:rPr>
        <w:rFonts w:hint="default"/>
      </w:rPr>
    </w:lvl>
    <w:lvl w:ilvl="3">
      <w:start w:val="0"/>
      <w:numFmt w:val="bullet"/>
      <w:lvlText w:val="•"/>
      <w:lvlJc w:val="left"/>
      <w:pPr>
        <w:ind w:left="5208" w:hanging="541"/>
      </w:pPr>
      <w:rPr>
        <w:rFonts w:hint="default"/>
      </w:rPr>
    </w:lvl>
    <w:lvl w:ilvl="4">
      <w:start w:val="0"/>
      <w:numFmt w:val="bullet"/>
      <w:lvlText w:val="•"/>
      <w:lvlJc w:val="left"/>
      <w:pPr>
        <w:ind w:left="6164" w:hanging="541"/>
      </w:pPr>
      <w:rPr>
        <w:rFonts w:hint="default"/>
      </w:rPr>
    </w:lvl>
    <w:lvl w:ilvl="5">
      <w:start w:val="0"/>
      <w:numFmt w:val="bullet"/>
      <w:lvlText w:val="•"/>
      <w:lvlJc w:val="left"/>
      <w:pPr>
        <w:ind w:left="7120" w:hanging="541"/>
      </w:pPr>
      <w:rPr>
        <w:rFonts w:hint="default"/>
      </w:rPr>
    </w:lvl>
    <w:lvl w:ilvl="6">
      <w:start w:val="0"/>
      <w:numFmt w:val="bullet"/>
      <w:lvlText w:val="•"/>
      <w:lvlJc w:val="left"/>
      <w:pPr>
        <w:ind w:left="8076" w:hanging="541"/>
      </w:pPr>
      <w:rPr>
        <w:rFonts w:hint="default"/>
      </w:rPr>
    </w:lvl>
    <w:lvl w:ilvl="7">
      <w:start w:val="0"/>
      <w:numFmt w:val="bullet"/>
      <w:lvlText w:val="•"/>
      <w:lvlJc w:val="left"/>
      <w:pPr>
        <w:ind w:left="9032" w:hanging="541"/>
      </w:pPr>
      <w:rPr>
        <w:rFonts w:hint="default"/>
      </w:rPr>
    </w:lvl>
    <w:lvl w:ilvl="8">
      <w:start w:val="0"/>
      <w:numFmt w:val="bullet"/>
      <w:lvlText w:val="•"/>
      <w:lvlJc w:val="left"/>
      <w:pPr>
        <w:ind w:left="9988" w:hanging="541"/>
      </w:pPr>
      <w:rPr>
        <w:rFonts w:hint="default"/>
      </w:rPr>
    </w:lvl>
  </w:abstractNum>
  <w:abstractNum w:abstractNumId="7">
    <w:multiLevelType w:val="hybridMultilevel"/>
    <w:lvl w:ilvl="0">
      <w:start w:val="1"/>
      <w:numFmt w:val="decimal"/>
      <w:lvlText w:val="%1."/>
      <w:lvlJc w:val="left"/>
      <w:pPr>
        <w:ind w:left="2157" w:hanging="360"/>
        <w:jc w:val="left"/>
      </w:pPr>
      <w:rPr>
        <w:rFonts w:hint="default"/>
        <w:spacing w:val="-1"/>
        <w:w w:val="100"/>
      </w:rPr>
    </w:lvl>
    <w:lvl w:ilvl="1">
      <w:start w:val="0"/>
      <w:numFmt w:val="bullet"/>
      <w:lvlText w:val="•"/>
      <w:lvlJc w:val="left"/>
      <w:pPr>
        <w:ind w:left="3134" w:hanging="360"/>
      </w:pPr>
      <w:rPr>
        <w:rFonts w:hint="default"/>
      </w:rPr>
    </w:lvl>
    <w:lvl w:ilvl="2">
      <w:start w:val="0"/>
      <w:numFmt w:val="bullet"/>
      <w:lvlText w:val="•"/>
      <w:lvlJc w:val="left"/>
      <w:pPr>
        <w:ind w:left="4108" w:hanging="360"/>
      </w:pPr>
      <w:rPr>
        <w:rFonts w:hint="default"/>
      </w:rPr>
    </w:lvl>
    <w:lvl w:ilvl="3">
      <w:start w:val="0"/>
      <w:numFmt w:val="bullet"/>
      <w:lvlText w:val="•"/>
      <w:lvlJc w:val="left"/>
      <w:pPr>
        <w:ind w:left="5082" w:hanging="360"/>
      </w:pPr>
      <w:rPr>
        <w:rFonts w:hint="default"/>
      </w:rPr>
    </w:lvl>
    <w:lvl w:ilvl="4">
      <w:start w:val="0"/>
      <w:numFmt w:val="bullet"/>
      <w:lvlText w:val="•"/>
      <w:lvlJc w:val="left"/>
      <w:pPr>
        <w:ind w:left="6056" w:hanging="360"/>
      </w:pPr>
      <w:rPr>
        <w:rFonts w:hint="default"/>
      </w:rPr>
    </w:lvl>
    <w:lvl w:ilvl="5">
      <w:start w:val="0"/>
      <w:numFmt w:val="bullet"/>
      <w:lvlText w:val="•"/>
      <w:lvlJc w:val="left"/>
      <w:pPr>
        <w:ind w:left="7030" w:hanging="360"/>
      </w:pPr>
      <w:rPr>
        <w:rFonts w:hint="default"/>
      </w:rPr>
    </w:lvl>
    <w:lvl w:ilvl="6">
      <w:start w:val="0"/>
      <w:numFmt w:val="bullet"/>
      <w:lvlText w:val="•"/>
      <w:lvlJc w:val="left"/>
      <w:pPr>
        <w:ind w:left="8004" w:hanging="360"/>
      </w:pPr>
      <w:rPr>
        <w:rFonts w:hint="default"/>
      </w:rPr>
    </w:lvl>
    <w:lvl w:ilvl="7">
      <w:start w:val="0"/>
      <w:numFmt w:val="bullet"/>
      <w:lvlText w:val="•"/>
      <w:lvlJc w:val="left"/>
      <w:pPr>
        <w:ind w:left="8978" w:hanging="360"/>
      </w:pPr>
      <w:rPr>
        <w:rFonts w:hint="default"/>
      </w:rPr>
    </w:lvl>
    <w:lvl w:ilvl="8">
      <w:start w:val="0"/>
      <w:numFmt w:val="bullet"/>
      <w:lvlText w:val="•"/>
      <w:lvlJc w:val="left"/>
      <w:pPr>
        <w:ind w:left="9952" w:hanging="360"/>
      </w:pPr>
      <w:rPr>
        <w:rFonts w:hint="default"/>
      </w:rPr>
    </w:lvl>
  </w:abstractNum>
  <w:abstractNum w:abstractNumId="6">
    <w:multiLevelType w:val="hybridMultilevel"/>
    <w:lvl w:ilvl="0">
      <w:start w:val="1"/>
      <w:numFmt w:val="lowerLetter"/>
      <w:lvlText w:val="(%1)"/>
      <w:lvlJc w:val="left"/>
      <w:pPr>
        <w:ind w:left="2337" w:hanging="541"/>
        <w:jc w:val="left"/>
      </w:pPr>
      <w:rPr>
        <w:rFonts w:hint="default" w:ascii="Arial" w:hAnsi="Arial" w:eastAsia="Arial" w:cs="Arial"/>
        <w:w w:val="100"/>
        <w:sz w:val="20"/>
        <w:szCs w:val="20"/>
      </w:rPr>
    </w:lvl>
    <w:lvl w:ilvl="1">
      <w:start w:val="1"/>
      <w:numFmt w:val="lowerLetter"/>
      <w:lvlText w:val="(%2)"/>
      <w:lvlJc w:val="left"/>
      <w:pPr>
        <w:ind w:left="2697" w:hanging="541"/>
        <w:jc w:val="left"/>
      </w:pPr>
      <w:rPr>
        <w:rFonts w:hint="default" w:ascii="Arial" w:hAnsi="Arial" w:eastAsia="Arial" w:cs="Arial"/>
        <w:w w:val="100"/>
        <w:sz w:val="20"/>
        <w:szCs w:val="20"/>
      </w:rPr>
    </w:lvl>
    <w:lvl w:ilvl="2">
      <w:start w:val="1"/>
      <w:numFmt w:val="lowerRoman"/>
      <w:lvlText w:val="(%3)"/>
      <w:lvlJc w:val="left"/>
      <w:pPr>
        <w:ind w:left="3238" w:hanging="541"/>
        <w:jc w:val="left"/>
      </w:pPr>
      <w:rPr>
        <w:rFonts w:hint="default" w:ascii="Arial" w:hAnsi="Arial" w:eastAsia="Arial" w:cs="Arial"/>
        <w:w w:val="100"/>
        <w:sz w:val="20"/>
        <w:szCs w:val="20"/>
      </w:rPr>
    </w:lvl>
    <w:lvl w:ilvl="3">
      <w:start w:val="0"/>
      <w:numFmt w:val="bullet"/>
      <w:lvlText w:val="•"/>
      <w:lvlJc w:val="left"/>
      <w:pPr>
        <w:ind w:left="4322" w:hanging="541"/>
      </w:pPr>
      <w:rPr>
        <w:rFonts w:hint="default"/>
      </w:rPr>
    </w:lvl>
    <w:lvl w:ilvl="4">
      <w:start w:val="0"/>
      <w:numFmt w:val="bullet"/>
      <w:lvlText w:val="•"/>
      <w:lvlJc w:val="left"/>
      <w:pPr>
        <w:ind w:left="5405" w:hanging="541"/>
      </w:pPr>
      <w:rPr>
        <w:rFonts w:hint="default"/>
      </w:rPr>
    </w:lvl>
    <w:lvl w:ilvl="5">
      <w:start w:val="0"/>
      <w:numFmt w:val="bullet"/>
      <w:lvlText w:val="•"/>
      <w:lvlJc w:val="left"/>
      <w:pPr>
        <w:ind w:left="6487" w:hanging="541"/>
      </w:pPr>
      <w:rPr>
        <w:rFonts w:hint="default"/>
      </w:rPr>
    </w:lvl>
    <w:lvl w:ilvl="6">
      <w:start w:val="0"/>
      <w:numFmt w:val="bullet"/>
      <w:lvlText w:val="•"/>
      <w:lvlJc w:val="left"/>
      <w:pPr>
        <w:ind w:left="7570" w:hanging="541"/>
      </w:pPr>
      <w:rPr>
        <w:rFonts w:hint="default"/>
      </w:rPr>
    </w:lvl>
    <w:lvl w:ilvl="7">
      <w:start w:val="0"/>
      <w:numFmt w:val="bullet"/>
      <w:lvlText w:val="•"/>
      <w:lvlJc w:val="left"/>
      <w:pPr>
        <w:ind w:left="8652" w:hanging="541"/>
      </w:pPr>
      <w:rPr>
        <w:rFonts w:hint="default"/>
      </w:rPr>
    </w:lvl>
    <w:lvl w:ilvl="8">
      <w:start w:val="0"/>
      <w:numFmt w:val="bullet"/>
      <w:lvlText w:val="•"/>
      <w:lvlJc w:val="left"/>
      <w:pPr>
        <w:ind w:left="9735" w:hanging="541"/>
      </w:pPr>
      <w:rPr>
        <w:rFonts w:hint="default"/>
      </w:rPr>
    </w:lvl>
  </w:abstractNum>
  <w:abstractNum w:abstractNumId="5">
    <w:multiLevelType w:val="hybridMultilevel"/>
    <w:lvl w:ilvl="0">
      <w:start w:val="1"/>
      <w:numFmt w:val="lowerLetter"/>
      <w:lvlText w:val="(%1)"/>
      <w:lvlJc w:val="left"/>
      <w:pPr>
        <w:ind w:left="2337" w:hanging="541"/>
        <w:jc w:val="left"/>
      </w:pPr>
      <w:rPr>
        <w:rFonts w:hint="default" w:ascii="Arial" w:hAnsi="Arial" w:eastAsia="Arial" w:cs="Arial"/>
        <w:w w:val="100"/>
        <w:sz w:val="20"/>
        <w:szCs w:val="20"/>
      </w:rPr>
    </w:lvl>
    <w:lvl w:ilvl="1">
      <w:start w:val="0"/>
      <w:numFmt w:val="bullet"/>
      <w:lvlText w:val="•"/>
      <w:lvlJc w:val="left"/>
      <w:pPr>
        <w:ind w:left="3296" w:hanging="541"/>
      </w:pPr>
      <w:rPr>
        <w:rFonts w:hint="default"/>
      </w:rPr>
    </w:lvl>
    <w:lvl w:ilvl="2">
      <w:start w:val="0"/>
      <w:numFmt w:val="bullet"/>
      <w:lvlText w:val="•"/>
      <w:lvlJc w:val="left"/>
      <w:pPr>
        <w:ind w:left="4252" w:hanging="541"/>
      </w:pPr>
      <w:rPr>
        <w:rFonts w:hint="default"/>
      </w:rPr>
    </w:lvl>
    <w:lvl w:ilvl="3">
      <w:start w:val="0"/>
      <w:numFmt w:val="bullet"/>
      <w:lvlText w:val="•"/>
      <w:lvlJc w:val="left"/>
      <w:pPr>
        <w:ind w:left="5208" w:hanging="541"/>
      </w:pPr>
      <w:rPr>
        <w:rFonts w:hint="default"/>
      </w:rPr>
    </w:lvl>
    <w:lvl w:ilvl="4">
      <w:start w:val="0"/>
      <w:numFmt w:val="bullet"/>
      <w:lvlText w:val="•"/>
      <w:lvlJc w:val="left"/>
      <w:pPr>
        <w:ind w:left="6164" w:hanging="541"/>
      </w:pPr>
      <w:rPr>
        <w:rFonts w:hint="default"/>
      </w:rPr>
    </w:lvl>
    <w:lvl w:ilvl="5">
      <w:start w:val="0"/>
      <w:numFmt w:val="bullet"/>
      <w:lvlText w:val="•"/>
      <w:lvlJc w:val="left"/>
      <w:pPr>
        <w:ind w:left="7120" w:hanging="541"/>
      </w:pPr>
      <w:rPr>
        <w:rFonts w:hint="default"/>
      </w:rPr>
    </w:lvl>
    <w:lvl w:ilvl="6">
      <w:start w:val="0"/>
      <w:numFmt w:val="bullet"/>
      <w:lvlText w:val="•"/>
      <w:lvlJc w:val="left"/>
      <w:pPr>
        <w:ind w:left="8076" w:hanging="541"/>
      </w:pPr>
      <w:rPr>
        <w:rFonts w:hint="default"/>
      </w:rPr>
    </w:lvl>
    <w:lvl w:ilvl="7">
      <w:start w:val="0"/>
      <w:numFmt w:val="bullet"/>
      <w:lvlText w:val="•"/>
      <w:lvlJc w:val="left"/>
      <w:pPr>
        <w:ind w:left="9032" w:hanging="541"/>
      </w:pPr>
      <w:rPr>
        <w:rFonts w:hint="default"/>
      </w:rPr>
    </w:lvl>
    <w:lvl w:ilvl="8">
      <w:start w:val="0"/>
      <w:numFmt w:val="bullet"/>
      <w:lvlText w:val="•"/>
      <w:lvlJc w:val="left"/>
      <w:pPr>
        <w:ind w:left="9988" w:hanging="541"/>
      </w:pPr>
      <w:rPr>
        <w:rFonts w:hint="default"/>
      </w:rPr>
    </w:lvl>
  </w:abstractNum>
  <w:abstractNum w:abstractNumId="4">
    <w:multiLevelType w:val="hybridMultilevel"/>
    <w:lvl w:ilvl="0">
      <w:start w:val="0"/>
      <w:numFmt w:val="bullet"/>
      <w:lvlText w:val="•"/>
      <w:lvlJc w:val="left"/>
      <w:pPr>
        <w:ind w:left="2337" w:hanging="540"/>
      </w:pPr>
      <w:rPr>
        <w:rFonts w:hint="default" w:ascii="Arial" w:hAnsi="Arial" w:eastAsia="Arial" w:cs="Arial"/>
        <w:w w:val="131"/>
        <w:sz w:val="20"/>
        <w:szCs w:val="20"/>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abstractNum w:abstractNumId="3">
    <w:multiLevelType w:val="hybridMultilevel"/>
    <w:lvl w:ilvl="0">
      <w:start w:val="9"/>
      <w:numFmt w:val="lowerLetter"/>
      <w:lvlText w:val="(%1)"/>
      <w:lvlJc w:val="left"/>
      <w:pPr>
        <w:ind w:left="2337" w:hanging="541"/>
        <w:jc w:val="left"/>
      </w:pPr>
      <w:rPr>
        <w:rFonts w:hint="default" w:ascii="Arial" w:hAnsi="Arial" w:eastAsia="Arial" w:cs="Arial"/>
        <w:w w:val="100"/>
        <w:sz w:val="20"/>
        <w:szCs w:val="20"/>
      </w:rPr>
    </w:lvl>
    <w:lvl w:ilvl="1">
      <w:start w:val="0"/>
      <w:numFmt w:val="bullet"/>
      <w:lvlText w:val="•"/>
      <w:lvlJc w:val="left"/>
      <w:pPr>
        <w:ind w:left="3296" w:hanging="541"/>
      </w:pPr>
      <w:rPr>
        <w:rFonts w:hint="default"/>
      </w:rPr>
    </w:lvl>
    <w:lvl w:ilvl="2">
      <w:start w:val="0"/>
      <w:numFmt w:val="bullet"/>
      <w:lvlText w:val="•"/>
      <w:lvlJc w:val="left"/>
      <w:pPr>
        <w:ind w:left="4252" w:hanging="541"/>
      </w:pPr>
      <w:rPr>
        <w:rFonts w:hint="default"/>
      </w:rPr>
    </w:lvl>
    <w:lvl w:ilvl="3">
      <w:start w:val="0"/>
      <w:numFmt w:val="bullet"/>
      <w:lvlText w:val="•"/>
      <w:lvlJc w:val="left"/>
      <w:pPr>
        <w:ind w:left="5208" w:hanging="541"/>
      </w:pPr>
      <w:rPr>
        <w:rFonts w:hint="default"/>
      </w:rPr>
    </w:lvl>
    <w:lvl w:ilvl="4">
      <w:start w:val="0"/>
      <w:numFmt w:val="bullet"/>
      <w:lvlText w:val="•"/>
      <w:lvlJc w:val="left"/>
      <w:pPr>
        <w:ind w:left="6164" w:hanging="541"/>
      </w:pPr>
      <w:rPr>
        <w:rFonts w:hint="default"/>
      </w:rPr>
    </w:lvl>
    <w:lvl w:ilvl="5">
      <w:start w:val="0"/>
      <w:numFmt w:val="bullet"/>
      <w:lvlText w:val="•"/>
      <w:lvlJc w:val="left"/>
      <w:pPr>
        <w:ind w:left="7120" w:hanging="541"/>
      </w:pPr>
      <w:rPr>
        <w:rFonts w:hint="default"/>
      </w:rPr>
    </w:lvl>
    <w:lvl w:ilvl="6">
      <w:start w:val="0"/>
      <w:numFmt w:val="bullet"/>
      <w:lvlText w:val="•"/>
      <w:lvlJc w:val="left"/>
      <w:pPr>
        <w:ind w:left="8076" w:hanging="541"/>
      </w:pPr>
      <w:rPr>
        <w:rFonts w:hint="default"/>
      </w:rPr>
    </w:lvl>
    <w:lvl w:ilvl="7">
      <w:start w:val="0"/>
      <w:numFmt w:val="bullet"/>
      <w:lvlText w:val="•"/>
      <w:lvlJc w:val="left"/>
      <w:pPr>
        <w:ind w:left="9032" w:hanging="541"/>
      </w:pPr>
      <w:rPr>
        <w:rFonts w:hint="default"/>
      </w:rPr>
    </w:lvl>
    <w:lvl w:ilvl="8">
      <w:start w:val="0"/>
      <w:numFmt w:val="bullet"/>
      <w:lvlText w:val="•"/>
      <w:lvlJc w:val="left"/>
      <w:pPr>
        <w:ind w:left="9988" w:hanging="541"/>
      </w:pPr>
      <w:rPr>
        <w:rFonts w:hint="default"/>
      </w:rPr>
    </w:lvl>
  </w:abstractNum>
  <w:abstractNum w:abstractNumId="2">
    <w:multiLevelType w:val="hybridMultilevel"/>
    <w:lvl w:ilvl="0">
      <w:start w:val="2"/>
      <w:numFmt w:val="lowerRoman"/>
      <w:lvlText w:val="(%1)"/>
      <w:lvlJc w:val="left"/>
      <w:pPr>
        <w:ind w:left="2877" w:hanging="541"/>
        <w:jc w:val="left"/>
      </w:pPr>
      <w:rPr>
        <w:rFonts w:hint="default" w:ascii="Arial" w:hAnsi="Arial" w:eastAsia="Arial" w:cs="Arial"/>
        <w:spacing w:val="-1"/>
        <w:w w:val="100"/>
        <w:sz w:val="20"/>
        <w:szCs w:val="20"/>
      </w:rPr>
    </w:lvl>
    <w:lvl w:ilvl="1">
      <w:start w:val="0"/>
      <w:numFmt w:val="bullet"/>
      <w:lvlText w:val="•"/>
      <w:lvlJc w:val="left"/>
      <w:pPr>
        <w:ind w:left="3782" w:hanging="541"/>
      </w:pPr>
      <w:rPr>
        <w:rFonts w:hint="default"/>
      </w:rPr>
    </w:lvl>
    <w:lvl w:ilvl="2">
      <w:start w:val="0"/>
      <w:numFmt w:val="bullet"/>
      <w:lvlText w:val="•"/>
      <w:lvlJc w:val="left"/>
      <w:pPr>
        <w:ind w:left="4684" w:hanging="541"/>
      </w:pPr>
      <w:rPr>
        <w:rFonts w:hint="default"/>
      </w:rPr>
    </w:lvl>
    <w:lvl w:ilvl="3">
      <w:start w:val="0"/>
      <w:numFmt w:val="bullet"/>
      <w:lvlText w:val="•"/>
      <w:lvlJc w:val="left"/>
      <w:pPr>
        <w:ind w:left="5586" w:hanging="541"/>
      </w:pPr>
      <w:rPr>
        <w:rFonts w:hint="default"/>
      </w:rPr>
    </w:lvl>
    <w:lvl w:ilvl="4">
      <w:start w:val="0"/>
      <w:numFmt w:val="bullet"/>
      <w:lvlText w:val="•"/>
      <w:lvlJc w:val="left"/>
      <w:pPr>
        <w:ind w:left="6488" w:hanging="541"/>
      </w:pPr>
      <w:rPr>
        <w:rFonts w:hint="default"/>
      </w:rPr>
    </w:lvl>
    <w:lvl w:ilvl="5">
      <w:start w:val="0"/>
      <w:numFmt w:val="bullet"/>
      <w:lvlText w:val="•"/>
      <w:lvlJc w:val="left"/>
      <w:pPr>
        <w:ind w:left="7390" w:hanging="541"/>
      </w:pPr>
      <w:rPr>
        <w:rFonts w:hint="default"/>
      </w:rPr>
    </w:lvl>
    <w:lvl w:ilvl="6">
      <w:start w:val="0"/>
      <w:numFmt w:val="bullet"/>
      <w:lvlText w:val="•"/>
      <w:lvlJc w:val="left"/>
      <w:pPr>
        <w:ind w:left="8292" w:hanging="541"/>
      </w:pPr>
      <w:rPr>
        <w:rFonts w:hint="default"/>
      </w:rPr>
    </w:lvl>
    <w:lvl w:ilvl="7">
      <w:start w:val="0"/>
      <w:numFmt w:val="bullet"/>
      <w:lvlText w:val="•"/>
      <w:lvlJc w:val="left"/>
      <w:pPr>
        <w:ind w:left="9194" w:hanging="541"/>
      </w:pPr>
      <w:rPr>
        <w:rFonts w:hint="default"/>
      </w:rPr>
    </w:lvl>
    <w:lvl w:ilvl="8">
      <w:start w:val="0"/>
      <w:numFmt w:val="bullet"/>
      <w:lvlText w:val="•"/>
      <w:lvlJc w:val="left"/>
      <w:pPr>
        <w:ind w:left="10096" w:hanging="541"/>
      </w:pPr>
      <w:rPr>
        <w:rFonts w:hint="default"/>
      </w:rPr>
    </w:lvl>
  </w:abstractNum>
  <w:abstractNum w:abstractNumId="1">
    <w:multiLevelType w:val="hybridMultilevel"/>
    <w:lvl w:ilvl="0">
      <w:start w:val="1"/>
      <w:numFmt w:val="lowerLetter"/>
      <w:lvlText w:val="(%1)"/>
      <w:lvlJc w:val="left"/>
      <w:pPr>
        <w:ind w:left="2337" w:hanging="540"/>
        <w:jc w:val="right"/>
      </w:pPr>
      <w:rPr>
        <w:rFonts w:hint="default" w:ascii="Arial" w:hAnsi="Arial" w:eastAsia="Arial" w:cs="Arial"/>
        <w:spacing w:val="-1"/>
        <w:w w:val="100"/>
        <w:sz w:val="20"/>
        <w:szCs w:val="20"/>
      </w:rPr>
    </w:lvl>
    <w:lvl w:ilvl="1">
      <w:start w:val="1"/>
      <w:numFmt w:val="lowerRoman"/>
      <w:lvlText w:val="(%2)"/>
      <w:lvlJc w:val="left"/>
      <w:pPr>
        <w:ind w:left="2877" w:hanging="541"/>
        <w:jc w:val="left"/>
      </w:pPr>
      <w:rPr>
        <w:rFonts w:hint="default" w:ascii="Arial" w:hAnsi="Arial" w:eastAsia="Arial" w:cs="Arial"/>
        <w:spacing w:val="-1"/>
        <w:w w:val="100"/>
        <w:sz w:val="20"/>
        <w:szCs w:val="20"/>
      </w:rPr>
    </w:lvl>
    <w:lvl w:ilvl="2">
      <w:start w:val="0"/>
      <w:numFmt w:val="bullet"/>
      <w:lvlText w:val="•"/>
      <w:lvlJc w:val="left"/>
      <w:pPr>
        <w:ind w:left="3882" w:hanging="541"/>
      </w:pPr>
      <w:rPr>
        <w:rFonts w:hint="default"/>
      </w:rPr>
    </w:lvl>
    <w:lvl w:ilvl="3">
      <w:start w:val="0"/>
      <w:numFmt w:val="bullet"/>
      <w:lvlText w:val="•"/>
      <w:lvlJc w:val="left"/>
      <w:pPr>
        <w:ind w:left="4884" w:hanging="541"/>
      </w:pPr>
      <w:rPr>
        <w:rFonts w:hint="default"/>
      </w:rPr>
    </w:lvl>
    <w:lvl w:ilvl="4">
      <w:start w:val="0"/>
      <w:numFmt w:val="bullet"/>
      <w:lvlText w:val="•"/>
      <w:lvlJc w:val="left"/>
      <w:pPr>
        <w:ind w:left="5886" w:hanging="541"/>
      </w:pPr>
      <w:rPr>
        <w:rFonts w:hint="default"/>
      </w:rPr>
    </w:lvl>
    <w:lvl w:ilvl="5">
      <w:start w:val="0"/>
      <w:numFmt w:val="bullet"/>
      <w:lvlText w:val="•"/>
      <w:lvlJc w:val="left"/>
      <w:pPr>
        <w:ind w:left="6888" w:hanging="541"/>
      </w:pPr>
      <w:rPr>
        <w:rFonts w:hint="default"/>
      </w:rPr>
    </w:lvl>
    <w:lvl w:ilvl="6">
      <w:start w:val="0"/>
      <w:numFmt w:val="bullet"/>
      <w:lvlText w:val="•"/>
      <w:lvlJc w:val="left"/>
      <w:pPr>
        <w:ind w:left="7891" w:hanging="541"/>
      </w:pPr>
      <w:rPr>
        <w:rFonts w:hint="default"/>
      </w:rPr>
    </w:lvl>
    <w:lvl w:ilvl="7">
      <w:start w:val="0"/>
      <w:numFmt w:val="bullet"/>
      <w:lvlText w:val="•"/>
      <w:lvlJc w:val="left"/>
      <w:pPr>
        <w:ind w:left="8893" w:hanging="541"/>
      </w:pPr>
      <w:rPr>
        <w:rFonts w:hint="default"/>
      </w:rPr>
    </w:lvl>
    <w:lvl w:ilvl="8">
      <w:start w:val="0"/>
      <w:numFmt w:val="bullet"/>
      <w:lvlText w:val="•"/>
      <w:lvlJc w:val="left"/>
      <w:pPr>
        <w:ind w:left="9895" w:hanging="541"/>
      </w:pPr>
      <w:rPr>
        <w:rFonts w:hint="default"/>
      </w:rPr>
    </w:lvl>
  </w:abstractNum>
  <w:abstractNum w:abstractNumId="0">
    <w:multiLevelType w:val="hybridMultilevel"/>
    <w:lvl w:ilvl="0">
      <w:start w:val="0"/>
      <w:numFmt w:val="bullet"/>
      <w:lvlText w:val="●"/>
      <w:lvlJc w:val="left"/>
      <w:pPr>
        <w:ind w:left="2337" w:hanging="541"/>
      </w:pPr>
      <w:rPr>
        <w:rFonts w:hint="default" w:ascii="Arial" w:hAnsi="Arial" w:eastAsia="Arial" w:cs="Arial"/>
        <w:w w:val="100"/>
        <w:sz w:val="20"/>
        <w:szCs w:val="20"/>
      </w:rPr>
    </w:lvl>
    <w:lvl w:ilvl="1">
      <w:start w:val="0"/>
      <w:numFmt w:val="bullet"/>
      <w:lvlText w:val="•"/>
      <w:lvlJc w:val="left"/>
      <w:pPr>
        <w:ind w:left="3296" w:hanging="541"/>
      </w:pPr>
      <w:rPr>
        <w:rFonts w:hint="default"/>
      </w:rPr>
    </w:lvl>
    <w:lvl w:ilvl="2">
      <w:start w:val="0"/>
      <w:numFmt w:val="bullet"/>
      <w:lvlText w:val="•"/>
      <w:lvlJc w:val="left"/>
      <w:pPr>
        <w:ind w:left="4252" w:hanging="541"/>
      </w:pPr>
      <w:rPr>
        <w:rFonts w:hint="default"/>
      </w:rPr>
    </w:lvl>
    <w:lvl w:ilvl="3">
      <w:start w:val="0"/>
      <w:numFmt w:val="bullet"/>
      <w:lvlText w:val="•"/>
      <w:lvlJc w:val="left"/>
      <w:pPr>
        <w:ind w:left="5208" w:hanging="541"/>
      </w:pPr>
      <w:rPr>
        <w:rFonts w:hint="default"/>
      </w:rPr>
    </w:lvl>
    <w:lvl w:ilvl="4">
      <w:start w:val="0"/>
      <w:numFmt w:val="bullet"/>
      <w:lvlText w:val="•"/>
      <w:lvlJc w:val="left"/>
      <w:pPr>
        <w:ind w:left="6164" w:hanging="541"/>
      </w:pPr>
      <w:rPr>
        <w:rFonts w:hint="default"/>
      </w:rPr>
    </w:lvl>
    <w:lvl w:ilvl="5">
      <w:start w:val="0"/>
      <w:numFmt w:val="bullet"/>
      <w:lvlText w:val="•"/>
      <w:lvlJc w:val="left"/>
      <w:pPr>
        <w:ind w:left="7120" w:hanging="541"/>
      </w:pPr>
      <w:rPr>
        <w:rFonts w:hint="default"/>
      </w:rPr>
    </w:lvl>
    <w:lvl w:ilvl="6">
      <w:start w:val="0"/>
      <w:numFmt w:val="bullet"/>
      <w:lvlText w:val="•"/>
      <w:lvlJc w:val="left"/>
      <w:pPr>
        <w:ind w:left="8076" w:hanging="541"/>
      </w:pPr>
      <w:rPr>
        <w:rFonts w:hint="default"/>
      </w:rPr>
    </w:lvl>
    <w:lvl w:ilvl="7">
      <w:start w:val="0"/>
      <w:numFmt w:val="bullet"/>
      <w:lvlText w:val="•"/>
      <w:lvlJc w:val="left"/>
      <w:pPr>
        <w:ind w:left="9032" w:hanging="541"/>
      </w:pPr>
      <w:rPr>
        <w:rFonts w:hint="default"/>
      </w:rPr>
    </w:lvl>
    <w:lvl w:ilvl="8">
      <w:start w:val="0"/>
      <w:numFmt w:val="bullet"/>
      <w:lvlText w:val="•"/>
      <w:lvlJc w:val="left"/>
      <w:pPr>
        <w:ind w:left="9988" w:hanging="54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00"/>
      <w:ind w:left="1797"/>
    </w:pPr>
    <w:rPr>
      <w:rFonts w:ascii="Arial" w:hAnsi="Arial" w:eastAsia="Arial" w:cs="Arial"/>
      <w:sz w:val="20"/>
      <w:szCs w:val="20"/>
    </w:rPr>
  </w:style>
  <w:style w:styleId="Heading1" w:type="paragraph">
    <w:name w:val="Heading 1"/>
    <w:basedOn w:val="Normal"/>
    <w:uiPriority w:val="1"/>
    <w:qFormat/>
    <w:pPr>
      <w:spacing w:before="182"/>
      <w:ind w:left="1797"/>
      <w:outlineLvl w:val="1"/>
    </w:pPr>
    <w:rPr>
      <w:rFonts w:ascii="Arial-BoldItalicMT" w:hAnsi="Arial-BoldItalicMT" w:eastAsia="Arial-BoldItalicMT" w:cs="Arial-BoldItalicMT"/>
      <w:b/>
      <w:bCs/>
      <w:i/>
      <w:sz w:val="20"/>
      <w:szCs w:val="20"/>
    </w:rPr>
  </w:style>
  <w:style w:styleId="Title" w:type="paragraph">
    <w:name w:val="Title"/>
    <w:basedOn w:val="Normal"/>
    <w:uiPriority w:val="1"/>
    <w:qFormat/>
    <w:pPr>
      <w:spacing w:before="21"/>
      <w:ind w:left="2269" w:right="2165"/>
      <w:jc w:val="center"/>
    </w:pPr>
    <w:rPr>
      <w:rFonts w:ascii="Arial" w:hAnsi="Arial" w:eastAsia="Arial" w:cs="Arial"/>
      <w:b/>
      <w:bCs/>
      <w:sz w:val="28"/>
      <w:szCs w:val="28"/>
    </w:rPr>
  </w:style>
  <w:style w:styleId="ListParagraph" w:type="paragraph">
    <w:name w:val="List Paragraph"/>
    <w:basedOn w:val="Normal"/>
    <w:uiPriority w:val="1"/>
    <w:qFormat/>
    <w:pPr>
      <w:spacing w:before="100"/>
      <w:ind w:left="2337" w:hanging="5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dfat.gov.au/" TargetMode="External"/><Relationship Id="rId9" Type="http://schemas.openxmlformats.org/officeDocument/2006/relationships/hyperlink" Target="http://scaleplus.law.gov.au/" TargetMode="External"/><Relationship Id="rId10" Type="http://schemas.openxmlformats.org/officeDocument/2006/relationships/hyperlink" Target="http://www.customs.gov.au/" TargetMode="External"/><Relationship Id="rId11" Type="http://schemas.openxmlformats.org/officeDocument/2006/relationships/hyperlink" Target="mailto:origin@customs.gov.a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Thailand - Australia Free Trade Agreement - Rules of Origin</dc:subject>
  <dc:title>AUSTRALIAN CUSTOMS NOTICE NO. 2004/51</dc:title>
  <dcterms:created xsi:type="dcterms:W3CDTF">2020-12-09T22:48:08Z</dcterms:created>
  <dcterms:modified xsi:type="dcterms:W3CDTF">2020-12-09T22:48:08Z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