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-1137012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27" w:id="1"/>
      <w:bookmarkEnd w:id="1"/>
      <w:r>
        <w:rPr>
          <w:b w:val="0"/>
        </w:rPr>
      </w:r>
      <w:r>
        <w:rPr/>
        <w:t>AUSTRALIAN CUSTOMS NOTICE NO. 2005/27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49pt;height:.75pt;mso-position-horizontal-relative:char;mso-position-vertical-relative:line" coordorigin="0,0" coordsize="8980,15">
            <v:rect style="position:absolute;left:0;top:0;width:898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513" w:right="2094" w:firstLine="0"/>
        <w:jc w:val="center"/>
        <w:rPr>
          <w:sz w:val="28"/>
        </w:rPr>
      </w:pPr>
      <w:bookmarkStart w:name="Integrated Cargo System – claiming prefe" w:id="2"/>
      <w:bookmarkEnd w:id="2"/>
      <w:r>
        <w:rPr/>
      </w:r>
      <w:r>
        <w:rPr>
          <w:sz w:val="28"/>
        </w:rPr>
        <w:t>Integrated Cargo System – claiming preferential tariff rates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701" w:right="1433"/>
        <w:jc w:val="both"/>
      </w:pPr>
      <w:r>
        <w:rPr/>
        <w:t>The imports component of the Integrated Cargo System (ICS) is due to be introduced over the next few months. The ICS procedures for claiming preferential tariff rates (including duty-free tariff rates for external territories) will be different from those under the COMPILE system.</w:t>
      </w:r>
    </w:p>
    <w:p>
      <w:pPr>
        <w:pStyle w:val="BodyText"/>
      </w:pPr>
    </w:p>
    <w:p>
      <w:pPr>
        <w:pStyle w:val="BodyText"/>
        <w:ind w:left="1701" w:right="1536"/>
      </w:pPr>
      <w:r>
        <w:rPr/>
        <w:t>The Trade Branch has prepared a detailed paper titled </w:t>
      </w:r>
      <w:r>
        <w:rPr>
          <w:i/>
        </w:rPr>
        <w:t>Integrated Cargo System – claiming preferential tariff rates</w:t>
      </w:r>
      <w:r>
        <w:rPr/>
        <w:t>. The paper sets out the ICS procedures for claiming these rates of duty. The paper is available on the Customs website, through the following link: </w:t>
      </w:r>
      <w:hyperlink r:id="rId6">
        <w:r>
          <w:rPr>
            <w:color w:val="0000FF"/>
            <w:u w:val="single" w:color="0000FF"/>
          </w:rPr>
          <w:t>http://www.customs.gov.au/webdata/resources/files/ICSprefTariffRates.pdf</w:t>
        </w:r>
      </w:hyperlink>
      <w:r>
        <w:rPr>
          <w:color w:val="0000FF"/>
        </w:rPr>
        <w:t>.</w:t>
      </w:r>
    </w:p>
    <w:p>
      <w:pPr>
        <w:pStyle w:val="BodyText"/>
      </w:pPr>
    </w:p>
    <w:p>
      <w:pPr>
        <w:pStyle w:val="BodyText"/>
        <w:ind w:left="1701" w:right="2207"/>
      </w:pPr>
      <w:r>
        <w:rPr/>
        <w:t>Any enquiries in relation to these new procedures should be directed to the origin mailbox, </w:t>
      </w:r>
      <w:hyperlink r:id="rId7">
        <w:r>
          <w:rPr>
            <w:color w:val="0000FF"/>
            <w:u w:val="single" w:color="0000FF"/>
          </w:rPr>
          <w:t>origin@customs.gov.au</w:t>
        </w:r>
      </w:hyperlink>
      <w:r>
        <w:rPr/>
        <w:t>, or to Origin, Trade Branch on telephone number (02) 6275 6556.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701" w:right="8351"/>
      </w:pPr>
      <w:r>
        <w:rPr/>
        <w:t>Andrew Rice National Manager Trade Branch CANBERRA ACT</w:t>
      </w:r>
    </w:p>
    <w:p>
      <w:pPr>
        <w:pStyle w:val="BodyText"/>
        <w:spacing w:before="119"/>
        <w:ind w:left="1867"/>
      </w:pPr>
      <w:r>
        <w:rPr/>
        <w:t>June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98841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513" w:right="209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ustoms.gov.au/webdata/resources/files/ICSprefTariffRates.pdf" TargetMode="External"/><Relationship Id="rId7" Type="http://schemas.openxmlformats.org/officeDocument/2006/relationships/hyperlink" Target="mailto:origin@customs.gov.au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Integrated Cargo System - claiming preferential tariff rates</dc:subject>
  <dc:title>AUSTRALIAN CUSTOMS NOTICE NO. 2005/27</dc:title>
  <dcterms:created xsi:type="dcterms:W3CDTF">2020-12-09T23:00:05Z</dcterms:created>
  <dcterms:modified xsi:type="dcterms:W3CDTF">2020-12-09T23:00:05Z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2020-12-09T00:00:00Z</vt:filetime>
  </property>
</Properties>
</file>