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Heading1"/>
        <w:spacing w:before="91" w:after="22"/>
        <w:ind w:left="2130" w:right="2122"/>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-1289538</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42" w:id="1"/>
      <w:bookmarkEnd w:id="1"/>
      <w:r>
        <w:rPr>
          <w:b w:val="0"/>
        </w:rPr>
      </w:r>
      <w:r>
        <w:rPr/>
        <w:t>AUSTRALIAN CUSTOMS NOTICE NO. 2005/42</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line="322" w:lineRule="exact" w:before="91"/>
        <w:ind w:left="2130" w:right="2122" w:firstLine="0"/>
        <w:jc w:val="center"/>
        <w:rPr>
          <w:sz w:val="28"/>
        </w:rPr>
      </w:pPr>
      <w:bookmarkStart w:name="Notices of Objection to Importation Melb" w:id="2"/>
      <w:bookmarkEnd w:id="2"/>
      <w:r>
        <w:rPr/>
      </w:r>
      <w:r>
        <w:rPr>
          <w:sz w:val="28"/>
        </w:rPr>
        <w:t>Notices of Objection to Importation</w:t>
      </w:r>
    </w:p>
    <w:p>
      <w:pPr>
        <w:spacing w:before="0"/>
        <w:ind w:left="2131" w:right="2122" w:firstLine="0"/>
        <w:jc w:val="center"/>
        <w:rPr>
          <w:sz w:val="28"/>
        </w:rPr>
      </w:pPr>
      <w:r>
        <w:rPr>
          <w:i/>
          <w:sz w:val="28"/>
        </w:rPr>
        <w:t>Melbourne 2006 Commonwealth Games (Indicia and Images) Protection Act 2005 (Cth</w:t>
      </w:r>
      <w:r>
        <w:rPr>
          <w:sz w:val="28"/>
        </w:rPr>
        <w:t>)</w:t>
      </w:r>
    </w:p>
    <w:p>
      <w:pPr>
        <w:pStyle w:val="BodyText"/>
        <w:spacing w:before="58"/>
        <w:ind w:left="1701" w:right="1708"/>
      </w:pPr>
      <w:r>
        <w:rPr/>
        <w:t>The </w:t>
      </w:r>
      <w:r>
        <w:rPr>
          <w:i/>
        </w:rPr>
        <w:t>Melbourne 2006 Commonwealth Games (Indicia and Images) Protection Act 2005 </w:t>
      </w:r>
      <w:r>
        <w:rPr/>
        <w:t>(the Act) prevents the unauthorised commercial use of certain indicia and images associated with the Melbourne 2006 Commonwealth Games, in order to provide a more secure environment in which the Melbourne 2006 Commonwealth Games Corporation can raise revenue through sponsorship and prevent ambush marketing.</w:t>
      </w:r>
    </w:p>
    <w:p>
      <w:pPr>
        <w:pStyle w:val="BodyText"/>
      </w:pPr>
    </w:p>
    <w:p>
      <w:pPr>
        <w:pStyle w:val="BodyText"/>
        <w:ind w:left="1701" w:right="1785"/>
      </w:pPr>
      <w:r>
        <w:rPr/>
        <w:t>The Act allows the Melbourne 2006 Commonwealth Games Corporation (the Corporation) and persons authorised by the Corporation, the Australian Commonwealth Games Association and the Commonwealth Games Federation (authorised users), to object to the importation of goods where the designated owner of the goods is not authorised by the Act to use, for commercial purposes, goods that have had Melbourne 2006 Commonwealth Games indicia or images applied to them.</w:t>
      </w:r>
    </w:p>
    <w:p>
      <w:pPr>
        <w:pStyle w:val="BodyText"/>
        <w:spacing w:before="11"/>
        <w:rPr>
          <w:sz w:val="19"/>
        </w:rPr>
      </w:pPr>
    </w:p>
    <w:p>
      <w:pPr>
        <w:pStyle w:val="BodyText"/>
        <w:ind w:left="1701" w:right="1797"/>
      </w:pPr>
      <w:r>
        <w:rPr/>
        <w:t>Unless revoked, a Notice of Objection will remain in force until the Act ceases to have effect on 30 June 2006, or in the case of an authorised user (other than the ACGA or the CGF) on the day on which the authorisation ceases to have effect.</w:t>
      </w:r>
    </w:p>
    <w:p>
      <w:pPr>
        <w:pStyle w:val="BodyText"/>
      </w:pPr>
    </w:p>
    <w:p>
      <w:pPr>
        <w:pStyle w:val="BodyText"/>
        <w:spacing w:before="1"/>
        <w:ind w:left="1701"/>
      </w:pPr>
      <w:r>
        <w:rPr/>
        <w:t>Section 8 of the Act provides that indicia or images are applied to goods if they are:</w:t>
      </w:r>
    </w:p>
    <w:p>
      <w:pPr>
        <w:pStyle w:val="ListParagraph"/>
        <w:numPr>
          <w:ilvl w:val="0"/>
          <w:numId w:val="1"/>
        </w:numPr>
        <w:tabs>
          <w:tab w:pos="2781" w:val="left" w:leader="none"/>
          <w:tab w:pos="2782" w:val="left" w:leader="none"/>
        </w:tabs>
        <w:spacing w:line="240" w:lineRule="auto" w:before="132" w:after="0"/>
        <w:ind w:left="2781" w:right="0" w:hanging="361"/>
        <w:jc w:val="left"/>
        <w:rPr>
          <w:sz w:val="20"/>
        </w:rPr>
      </w:pPr>
      <w:r>
        <w:rPr>
          <w:sz w:val="20"/>
        </w:rPr>
        <w:t>woven in, impressed on, worked into, affixed or annexed to, the goods;</w:t>
      </w:r>
      <w:r>
        <w:rPr>
          <w:spacing w:val="-21"/>
          <w:sz w:val="20"/>
        </w:rPr>
        <w:t> </w:t>
      </w:r>
      <w:r>
        <w:rPr>
          <w:sz w:val="20"/>
        </w:rPr>
        <w:t>or</w:t>
      </w:r>
    </w:p>
    <w:p>
      <w:pPr>
        <w:pStyle w:val="ListParagraph"/>
        <w:numPr>
          <w:ilvl w:val="0"/>
          <w:numId w:val="1"/>
        </w:numPr>
        <w:tabs>
          <w:tab w:pos="2781" w:val="left" w:leader="none"/>
          <w:tab w:pos="2782" w:val="left" w:leader="none"/>
        </w:tabs>
        <w:spacing w:line="240" w:lineRule="auto" w:before="134" w:after="0"/>
        <w:ind w:left="2779" w:right="2015" w:hanging="358"/>
        <w:jc w:val="left"/>
        <w:rPr>
          <w:sz w:val="20"/>
        </w:rPr>
      </w:pPr>
      <w:r>
        <w:rPr>
          <w:sz w:val="20"/>
        </w:rPr>
        <w:t>applied</w:t>
      </w:r>
      <w:r>
        <w:rPr>
          <w:spacing w:val="-5"/>
          <w:sz w:val="20"/>
        </w:rPr>
        <w:t> </w:t>
      </w:r>
      <w:r>
        <w:rPr>
          <w:sz w:val="20"/>
        </w:rPr>
        <w:t>to</w:t>
      </w:r>
      <w:r>
        <w:rPr>
          <w:spacing w:val="-4"/>
          <w:sz w:val="20"/>
        </w:rPr>
        <w:t> </w:t>
      </w:r>
      <w:r>
        <w:rPr>
          <w:sz w:val="20"/>
        </w:rPr>
        <w:t>any</w:t>
      </w:r>
      <w:r>
        <w:rPr>
          <w:spacing w:val="-4"/>
          <w:sz w:val="20"/>
        </w:rPr>
        <w:t> </w:t>
      </w:r>
      <w:r>
        <w:rPr>
          <w:sz w:val="20"/>
        </w:rPr>
        <w:t>covering,</w:t>
      </w:r>
      <w:r>
        <w:rPr>
          <w:spacing w:val="-4"/>
          <w:sz w:val="20"/>
        </w:rPr>
        <w:t> </w:t>
      </w:r>
      <w:r>
        <w:rPr>
          <w:sz w:val="20"/>
        </w:rPr>
        <w:t>document,</w:t>
      </w:r>
      <w:r>
        <w:rPr>
          <w:spacing w:val="-4"/>
          <w:sz w:val="20"/>
        </w:rPr>
        <w:t> </w:t>
      </w:r>
      <w:r>
        <w:rPr>
          <w:sz w:val="20"/>
        </w:rPr>
        <w:t>label,</w:t>
      </w:r>
      <w:r>
        <w:rPr>
          <w:spacing w:val="-4"/>
          <w:sz w:val="20"/>
        </w:rPr>
        <w:t> </w:t>
      </w:r>
      <w:r>
        <w:rPr>
          <w:sz w:val="20"/>
        </w:rPr>
        <w:t>reel</w:t>
      </w:r>
      <w:r>
        <w:rPr>
          <w:spacing w:val="-5"/>
          <w:sz w:val="20"/>
        </w:rPr>
        <w:t> </w:t>
      </w:r>
      <w:r>
        <w:rPr>
          <w:sz w:val="20"/>
        </w:rPr>
        <w:t>or</w:t>
      </w:r>
      <w:r>
        <w:rPr>
          <w:spacing w:val="-4"/>
          <w:sz w:val="20"/>
        </w:rPr>
        <w:t> </w:t>
      </w:r>
      <w:r>
        <w:rPr>
          <w:sz w:val="20"/>
        </w:rPr>
        <w:t>thing</w:t>
      </w:r>
      <w:r>
        <w:rPr>
          <w:spacing w:val="-4"/>
          <w:sz w:val="20"/>
        </w:rPr>
        <w:t> </w:t>
      </w:r>
      <w:r>
        <w:rPr>
          <w:sz w:val="20"/>
        </w:rPr>
        <w:t>in</w:t>
      </w:r>
      <w:r>
        <w:rPr>
          <w:spacing w:val="-4"/>
          <w:sz w:val="20"/>
        </w:rPr>
        <w:t> </w:t>
      </w:r>
      <w:r>
        <w:rPr>
          <w:sz w:val="20"/>
        </w:rPr>
        <w:t>or</w:t>
      </w:r>
      <w:r>
        <w:rPr>
          <w:spacing w:val="-4"/>
          <w:sz w:val="20"/>
        </w:rPr>
        <w:t> </w:t>
      </w:r>
      <w:r>
        <w:rPr>
          <w:sz w:val="20"/>
        </w:rPr>
        <w:t>with</w:t>
      </w:r>
      <w:r>
        <w:rPr>
          <w:spacing w:val="-4"/>
          <w:sz w:val="20"/>
        </w:rPr>
        <w:t> </w:t>
      </w:r>
      <w:r>
        <w:rPr>
          <w:sz w:val="20"/>
        </w:rPr>
        <w:t>which</w:t>
      </w:r>
      <w:r>
        <w:rPr>
          <w:spacing w:val="-4"/>
          <w:sz w:val="20"/>
        </w:rPr>
        <w:t> </w:t>
      </w:r>
      <w:r>
        <w:rPr>
          <w:sz w:val="20"/>
        </w:rPr>
        <w:t>the</w:t>
      </w:r>
      <w:r>
        <w:rPr>
          <w:spacing w:val="-5"/>
          <w:sz w:val="20"/>
        </w:rPr>
        <w:t> </w:t>
      </w:r>
      <w:r>
        <w:rPr>
          <w:sz w:val="20"/>
        </w:rPr>
        <w:t>goods are, or are intended to be, dealt with or provided in the course of trade;</w:t>
      </w:r>
      <w:r>
        <w:rPr>
          <w:spacing w:val="-35"/>
          <w:sz w:val="20"/>
        </w:rPr>
        <w:t> </w:t>
      </w:r>
      <w:r>
        <w:rPr>
          <w:sz w:val="20"/>
        </w:rPr>
        <w:t>or</w:t>
      </w:r>
    </w:p>
    <w:p>
      <w:pPr>
        <w:pStyle w:val="ListParagraph"/>
        <w:numPr>
          <w:ilvl w:val="0"/>
          <w:numId w:val="1"/>
        </w:numPr>
        <w:tabs>
          <w:tab w:pos="2781" w:val="left" w:leader="none"/>
          <w:tab w:pos="2782" w:val="left" w:leader="none"/>
        </w:tabs>
        <w:spacing w:line="240" w:lineRule="auto" w:before="14" w:after="0"/>
        <w:ind w:left="2779" w:right="2226" w:hanging="358"/>
        <w:jc w:val="left"/>
        <w:rPr>
          <w:sz w:val="20"/>
        </w:rPr>
      </w:pPr>
      <w:r>
        <w:rPr>
          <w:sz w:val="20"/>
        </w:rPr>
        <w:t>are used on a signboard or in an advertisement (including a television or</w:t>
      </w:r>
      <w:r>
        <w:rPr>
          <w:spacing w:val="-23"/>
          <w:sz w:val="20"/>
        </w:rPr>
        <w:t> </w:t>
      </w:r>
      <w:r>
        <w:rPr>
          <w:sz w:val="20"/>
        </w:rPr>
        <w:t>radio advertisement) that promotes the goods;</w:t>
      </w:r>
      <w:r>
        <w:rPr>
          <w:spacing w:val="-6"/>
          <w:sz w:val="20"/>
        </w:rPr>
        <w:t> </w:t>
      </w:r>
      <w:r>
        <w:rPr>
          <w:sz w:val="20"/>
        </w:rPr>
        <w:t>or</w:t>
      </w:r>
    </w:p>
    <w:p>
      <w:pPr>
        <w:pStyle w:val="ListParagraph"/>
        <w:numPr>
          <w:ilvl w:val="0"/>
          <w:numId w:val="1"/>
        </w:numPr>
        <w:tabs>
          <w:tab w:pos="2781" w:val="left" w:leader="none"/>
          <w:tab w:pos="2782" w:val="left" w:leader="none"/>
        </w:tabs>
        <w:spacing w:line="240" w:lineRule="auto" w:before="12" w:after="0"/>
        <w:ind w:left="2781" w:right="2144" w:hanging="360"/>
        <w:jc w:val="left"/>
        <w:rPr>
          <w:sz w:val="20"/>
        </w:rPr>
      </w:pPr>
      <w:r>
        <w:rPr>
          <w:sz w:val="20"/>
        </w:rPr>
        <w:t>are used in an invoice, price list, catalogue, brochure, business letter, business paper or other commercial document that relates to the</w:t>
      </w:r>
      <w:r>
        <w:rPr>
          <w:spacing w:val="-11"/>
          <w:sz w:val="20"/>
        </w:rPr>
        <w:t> </w:t>
      </w:r>
      <w:r>
        <w:rPr>
          <w:sz w:val="20"/>
        </w:rPr>
        <w:t>goods.</w:t>
      </w:r>
    </w:p>
    <w:p>
      <w:pPr>
        <w:pStyle w:val="BodyText"/>
        <w:spacing w:before="7"/>
        <w:rPr>
          <w:sz w:val="30"/>
        </w:rPr>
      </w:pPr>
    </w:p>
    <w:p>
      <w:pPr>
        <w:pStyle w:val="BodyText"/>
        <w:ind w:left="1701"/>
      </w:pPr>
      <w:r>
        <w:rPr/>
        <w:t>Section 21 of the Act allows the CEO of Customs to seize infringing goods if:</w:t>
      </w:r>
    </w:p>
    <w:p>
      <w:pPr>
        <w:pStyle w:val="ListParagraph"/>
        <w:numPr>
          <w:ilvl w:val="0"/>
          <w:numId w:val="1"/>
        </w:numPr>
        <w:tabs>
          <w:tab w:pos="2781" w:val="left" w:leader="none"/>
          <w:tab w:pos="2782" w:val="left" w:leader="none"/>
        </w:tabs>
        <w:spacing w:line="240" w:lineRule="auto" w:before="132" w:after="0"/>
        <w:ind w:left="2781" w:right="0" w:hanging="361"/>
        <w:jc w:val="left"/>
        <w:rPr>
          <w:sz w:val="20"/>
        </w:rPr>
      </w:pPr>
      <w:r>
        <w:rPr>
          <w:sz w:val="20"/>
        </w:rPr>
        <w:t>a Notice of Objection is in force under section 20 in relation to the goods;</w:t>
      </w:r>
      <w:r>
        <w:rPr>
          <w:spacing w:val="-16"/>
          <w:sz w:val="20"/>
        </w:rPr>
        <w:t> </w:t>
      </w:r>
      <w:r>
        <w:rPr>
          <w:sz w:val="20"/>
        </w:rPr>
        <w:t>and</w:t>
      </w:r>
    </w:p>
    <w:p>
      <w:pPr>
        <w:pStyle w:val="ListParagraph"/>
        <w:numPr>
          <w:ilvl w:val="0"/>
          <w:numId w:val="1"/>
        </w:numPr>
        <w:tabs>
          <w:tab w:pos="2781" w:val="left" w:leader="none"/>
          <w:tab w:pos="2782" w:val="left" w:leader="none"/>
        </w:tabs>
        <w:spacing w:line="240" w:lineRule="auto" w:before="134" w:after="0"/>
        <w:ind w:left="2779" w:right="1980" w:hanging="358"/>
        <w:jc w:val="left"/>
        <w:rPr>
          <w:sz w:val="20"/>
        </w:rPr>
      </w:pPr>
      <w:r>
        <w:rPr>
          <w:sz w:val="20"/>
        </w:rPr>
        <w:t>it appears to the CEO of Customs that the designated owner is not authorised</w:t>
      </w:r>
      <w:r>
        <w:rPr>
          <w:spacing w:val="-38"/>
          <w:sz w:val="20"/>
        </w:rPr>
        <w:t> </w:t>
      </w:r>
      <w:r>
        <w:rPr>
          <w:sz w:val="20"/>
        </w:rPr>
        <w:t>by the Act to use the indicia or images for commercial purposes in relation to the goods.</w:t>
      </w:r>
    </w:p>
    <w:p>
      <w:pPr>
        <w:pStyle w:val="BodyText"/>
      </w:pPr>
    </w:p>
    <w:p>
      <w:pPr>
        <w:pStyle w:val="BodyText"/>
        <w:ind w:left="1701" w:right="2074"/>
      </w:pPr>
      <w:r>
        <w:rPr/>
        <w:t>However, under section 21 of the Act the CEO of Customs is not required to seize infringing goods if:</w:t>
      </w:r>
    </w:p>
    <w:p>
      <w:pPr>
        <w:pStyle w:val="ListParagraph"/>
        <w:numPr>
          <w:ilvl w:val="0"/>
          <w:numId w:val="1"/>
        </w:numPr>
        <w:tabs>
          <w:tab w:pos="2781" w:val="left" w:leader="none"/>
          <w:tab w:pos="2782" w:val="left" w:leader="none"/>
        </w:tabs>
        <w:spacing w:line="240" w:lineRule="auto" w:before="133" w:after="0"/>
        <w:ind w:left="2779" w:right="2280" w:hanging="358"/>
        <w:jc w:val="left"/>
        <w:rPr>
          <w:sz w:val="20"/>
        </w:rPr>
      </w:pPr>
      <w:r>
        <w:rPr>
          <w:sz w:val="20"/>
        </w:rPr>
        <w:t>he or she has reasonable grounds to believe that section 12 of the Act</w:t>
      </w:r>
      <w:r>
        <w:rPr>
          <w:spacing w:val="-17"/>
          <w:sz w:val="20"/>
        </w:rPr>
        <w:t> </w:t>
      </w:r>
      <w:r>
        <w:rPr>
          <w:sz w:val="20"/>
        </w:rPr>
        <w:t>(which regulates the use of indicia and images) would not be contravened by the designated owner’s use of the indicia or images for commercial purposes;</w:t>
      </w:r>
      <w:r>
        <w:rPr>
          <w:spacing w:val="-24"/>
          <w:sz w:val="20"/>
        </w:rPr>
        <w:t> </w:t>
      </w:r>
      <w:r>
        <w:rPr>
          <w:sz w:val="20"/>
        </w:rPr>
        <w:t>or</w:t>
      </w:r>
    </w:p>
    <w:p>
      <w:pPr>
        <w:pStyle w:val="ListParagraph"/>
        <w:numPr>
          <w:ilvl w:val="0"/>
          <w:numId w:val="1"/>
        </w:numPr>
        <w:tabs>
          <w:tab w:pos="2781" w:val="left" w:leader="none"/>
          <w:tab w:pos="2782" w:val="left" w:leader="none"/>
        </w:tabs>
        <w:spacing w:line="240" w:lineRule="auto" w:before="133" w:after="0"/>
        <w:ind w:left="2779" w:right="1956" w:hanging="358"/>
        <w:jc w:val="left"/>
        <w:rPr>
          <w:sz w:val="20"/>
        </w:rPr>
      </w:pPr>
      <w:r>
        <w:rPr>
          <w:sz w:val="20"/>
        </w:rPr>
        <w:t>the objector has not given sufficient security to the CEO of Customs to reimburse the Commonwealth for reasonable expenses incurred if the goods were</w:t>
      </w:r>
      <w:r>
        <w:rPr>
          <w:spacing w:val="-21"/>
          <w:sz w:val="20"/>
        </w:rPr>
        <w:t> </w:t>
      </w:r>
      <w:r>
        <w:rPr>
          <w:sz w:val="20"/>
        </w:rPr>
        <w:t>seized.</w:t>
      </w:r>
    </w:p>
    <w:p>
      <w:pPr>
        <w:pStyle w:val="BodyText"/>
        <w:spacing w:before="1"/>
      </w:pPr>
    </w:p>
    <w:p>
      <w:pPr>
        <w:pStyle w:val="BodyText"/>
        <w:spacing w:before="1"/>
        <w:ind w:left="1701" w:right="1807"/>
      </w:pPr>
      <w:r>
        <w:rPr/>
        <w:t>A schedule setting out the Melbourne 2006 indicia and images protected under the Act and described in this Notice is attached, with details of the legal representatives of Melbourne 2006</w:t>
      </w:r>
    </w:p>
    <w:p>
      <w:pPr>
        <w:pStyle w:val="BodyText"/>
      </w:pPr>
    </w:p>
    <w:p>
      <w:pPr>
        <w:pStyle w:val="BodyText"/>
      </w:pPr>
    </w:p>
    <w:p>
      <w:pPr>
        <w:pStyle w:val="BodyText"/>
      </w:pPr>
    </w:p>
    <w:p>
      <w:pPr>
        <w:pStyle w:val="BodyText"/>
        <w:spacing w:before="4"/>
        <w:rPr>
          <w:sz w:val="11"/>
        </w:rPr>
      </w:pPr>
      <w:r>
        <w:rPr/>
        <w:drawing>
          <wp:anchor distT="0" distB="0" distL="0" distR="0" allowOverlap="1" layoutInCell="1" locked="0" behindDoc="0" simplePos="0" relativeHeight="1">
            <wp:simplePos x="0" y="0"/>
            <wp:positionH relativeFrom="page">
              <wp:posOffset>5557265</wp:posOffset>
            </wp:positionH>
            <wp:positionV relativeFrom="paragraph">
              <wp:posOffset>108183</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11"/>
        </w:rPr>
        <w:sectPr>
          <w:type w:val="continuous"/>
          <w:pgSz w:w="11900" w:h="16840"/>
          <w:pgMar w:top="860" w:bottom="280" w:left="0" w:right="0"/>
        </w:sectPr>
      </w:pPr>
    </w:p>
    <w:p>
      <w:pPr>
        <w:pStyle w:val="BodyText"/>
        <w:spacing w:before="77"/>
        <w:ind w:left="1701" w:right="1718"/>
      </w:pPr>
      <w:r>
        <w:rPr/>
        <w:t>Commonwealth Games Corporation. Importers who intend to use the Melbourne 2006 Games indicia and images should contact the Corporation’s legal representatives for further assistance.</w:t>
      </w:r>
    </w:p>
    <w:p>
      <w:pPr>
        <w:pStyle w:val="BodyText"/>
      </w:pPr>
    </w:p>
    <w:p>
      <w:pPr>
        <w:pStyle w:val="BodyText"/>
        <w:ind w:left="1701" w:right="1830"/>
      </w:pPr>
      <w:r>
        <w:rPr/>
        <w:t>Information relating to this Notice of Objection has been forwarded to the Customs office in the capital city of each State and Territory. Importers, or their advisers, who require further information regarding the Notice of Objection, or Customs’ role in respect of this notice,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701" w:right="8544"/>
      </w:pPr>
      <w:r>
        <w:rPr/>
        <w:t>Philomena Carnell National Manager Cargo Branch CANBERRA ACT</w:t>
      </w:r>
    </w:p>
    <w:p>
      <w:pPr>
        <w:pStyle w:val="BodyText"/>
        <w:rPr>
          <w:sz w:val="22"/>
        </w:rPr>
      </w:pPr>
    </w:p>
    <w:p>
      <w:pPr>
        <w:pStyle w:val="BodyText"/>
        <w:rPr>
          <w:sz w:val="22"/>
        </w:rPr>
      </w:pPr>
    </w:p>
    <w:p>
      <w:pPr>
        <w:pStyle w:val="BodyText"/>
        <w:spacing w:before="4"/>
        <w:rPr>
          <w:sz w:val="27"/>
        </w:rPr>
      </w:pPr>
    </w:p>
    <w:p>
      <w:pPr>
        <w:pStyle w:val="BodyText"/>
        <w:ind w:left="1701"/>
      </w:pPr>
      <w:r>
        <w:rPr/>
        <w:t>18 August 2005</w:t>
      </w:r>
    </w:p>
    <w:p>
      <w:pPr>
        <w:spacing w:after="0"/>
        <w:sectPr>
          <w:pgSz w:w="11900" w:h="16840"/>
          <w:pgMar w:top="1360" w:bottom="280" w:left="0" w:right="0"/>
        </w:sectPr>
      </w:pPr>
    </w:p>
    <w:p>
      <w:pPr>
        <w:pStyle w:val="Heading1"/>
        <w:spacing w:before="79"/>
        <w:ind w:right="2031" w:firstLine="1614"/>
      </w:pPr>
      <w:bookmarkStart w:name="_bookmark0" w:id="3"/>
      <w:bookmarkEnd w:id="3"/>
      <w:r>
        <w:rPr>
          <w:b w:val="0"/>
        </w:rPr>
      </w:r>
      <w:bookmarkStart w:name="MELBOURNE 2006 COMMONWEALTH GAMES (INDIC" w:id="4"/>
      <w:bookmarkEnd w:id="4"/>
      <w:r>
        <w:rPr>
          <w:b w:val="0"/>
        </w:rPr>
      </w:r>
      <w:r>
        <w:rPr/>
        <w:t>SCHEDULE TO ACN NO. 2005/42 MELBOURNE 2006 COMMONWEALTH GAMES (INDICIA &amp;</w:t>
      </w:r>
    </w:p>
    <w:p>
      <w:pPr>
        <w:spacing w:before="0"/>
        <w:ind w:left="2742" w:right="0" w:firstLine="0"/>
        <w:jc w:val="left"/>
        <w:rPr>
          <w:b/>
          <w:sz w:val="28"/>
        </w:rPr>
      </w:pPr>
      <w:r>
        <w:rPr>
          <w:b/>
          <w:sz w:val="28"/>
        </w:rPr>
        <w:t>IMAGES) PROTECTION NOTICE OF OBJECTION</w:t>
      </w:r>
    </w:p>
    <w:p>
      <w:pPr>
        <w:pStyle w:val="BodyText"/>
        <w:spacing w:before="8"/>
        <w:rPr>
          <w:b/>
          <w:sz w:val="35"/>
        </w:rPr>
      </w:pPr>
    </w:p>
    <w:p>
      <w:pPr>
        <w:tabs>
          <w:tab w:pos="6921" w:val="left" w:leader="none"/>
        </w:tabs>
        <w:spacing w:before="0"/>
        <w:ind w:left="1701" w:right="2964" w:firstLine="0"/>
        <w:jc w:val="left"/>
        <w:rPr>
          <w:rFonts w:ascii="Arial-BoldItalicMT"/>
          <w:b/>
          <w:i/>
          <w:sz w:val="20"/>
        </w:rPr>
      </w:pPr>
      <w:bookmarkStart w:name="Melbourne 2006 CommonwealthLegal Represe" w:id="5"/>
      <w:bookmarkEnd w:id="5"/>
      <w:r>
        <w:rPr/>
      </w:r>
      <w:bookmarkStart w:name="Games Corporation" w:id="6"/>
      <w:bookmarkEnd w:id="6"/>
      <w:r>
        <w:rPr/>
      </w:r>
      <w:r>
        <w:rPr>
          <w:rFonts w:ascii="Arial-BoldItalicMT"/>
          <w:b/>
          <w:i/>
          <w:sz w:val="20"/>
        </w:rPr>
        <w:t>Melbourne</w:t>
      </w:r>
      <w:r>
        <w:rPr>
          <w:rFonts w:ascii="Arial-BoldItalicMT"/>
          <w:b/>
          <w:i/>
          <w:spacing w:val="-6"/>
          <w:sz w:val="20"/>
        </w:rPr>
        <w:t> </w:t>
      </w:r>
      <w:r>
        <w:rPr>
          <w:rFonts w:ascii="Arial-BoldItalicMT"/>
          <w:b/>
          <w:i/>
          <w:sz w:val="20"/>
        </w:rPr>
        <w:t>2006</w:t>
      </w:r>
      <w:r>
        <w:rPr>
          <w:rFonts w:ascii="Arial-BoldItalicMT"/>
          <w:b/>
          <w:i/>
          <w:spacing w:val="-5"/>
          <w:sz w:val="20"/>
        </w:rPr>
        <w:t> </w:t>
      </w:r>
      <w:r>
        <w:rPr>
          <w:rFonts w:ascii="Arial-BoldItalicMT"/>
          <w:b/>
          <w:i/>
          <w:sz w:val="20"/>
        </w:rPr>
        <w:t>Commonwealth</w:t>
        <w:tab/>
        <w:t>Legal Representative Games</w:t>
      </w:r>
      <w:r>
        <w:rPr>
          <w:rFonts w:ascii="Arial-BoldItalicMT"/>
          <w:b/>
          <w:i/>
          <w:spacing w:val="-2"/>
          <w:sz w:val="20"/>
        </w:rPr>
        <w:t> </w:t>
      </w:r>
      <w:r>
        <w:rPr>
          <w:rFonts w:ascii="Arial-BoldItalicMT"/>
          <w:b/>
          <w:i/>
          <w:sz w:val="20"/>
        </w:rPr>
        <w:t>Corporation</w:t>
      </w:r>
    </w:p>
    <w:p>
      <w:pPr>
        <w:spacing w:before="0"/>
        <w:ind w:left="6921" w:right="1902" w:firstLine="0"/>
        <w:jc w:val="left"/>
        <w:rPr>
          <w:rFonts w:ascii="Arial-BoldItalicMT"/>
          <w:b/>
          <w:i/>
          <w:sz w:val="20"/>
        </w:rPr>
      </w:pPr>
      <w:bookmarkStart w:name="Melbourne 2006 Commonwealth" w:id="7"/>
      <w:bookmarkEnd w:id="7"/>
      <w:r>
        <w:rPr/>
      </w:r>
      <w:r>
        <w:rPr>
          <w:rFonts w:ascii="Arial-BoldItalicMT"/>
          <w:b/>
          <w:i/>
          <w:sz w:val="20"/>
        </w:rPr>
        <w:t>Melbourne 2006 Commonwealth</w:t>
      </w:r>
      <w:bookmarkStart w:name="Games Corporation" w:id="8"/>
      <w:bookmarkEnd w:id="8"/>
      <w:r>
        <w:rPr>
          <w:rFonts w:ascii="Arial-BoldItalicMT"/>
          <w:b/>
          <w:i/>
          <w:sz w:val="20"/>
        </w:rPr>
      </w:r>
      <w:r>
        <w:rPr>
          <w:rFonts w:ascii="Arial-BoldItalicMT"/>
          <w:b/>
          <w:i/>
          <w:sz w:val="20"/>
        </w:rPr>
        <w:t> Games Corporation</w:t>
      </w:r>
    </w:p>
    <w:p>
      <w:pPr>
        <w:pStyle w:val="BodyText"/>
        <w:spacing w:before="9"/>
        <w:rPr>
          <w:rFonts w:ascii="Arial-BoldItalicMT"/>
          <w:b/>
          <w:i/>
        </w:rPr>
      </w:pPr>
    </w:p>
    <w:p>
      <w:pPr>
        <w:spacing w:before="1"/>
        <w:ind w:left="6921" w:right="0" w:firstLine="0"/>
        <w:jc w:val="left"/>
        <w:rPr>
          <w:rFonts w:ascii="Arial-BoldItalicMT"/>
          <w:b/>
          <w:i/>
          <w:sz w:val="20"/>
        </w:rPr>
      </w:pPr>
      <w:bookmarkStart w:name="Ph: (03) 9613 2006" w:id="9"/>
      <w:bookmarkEnd w:id="9"/>
      <w:r>
        <w:rPr/>
      </w:r>
      <w:r>
        <w:rPr>
          <w:rFonts w:ascii="Arial-BoldItalicMT"/>
          <w:b/>
          <w:i/>
          <w:sz w:val="20"/>
        </w:rPr>
        <w:t>Ph: (03) 9613 2006</w:t>
      </w:r>
    </w:p>
    <w:p>
      <w:pPr>
        <w:pStyle w:val="BodyText"/>
        <w:spacing w:before="2"/>
        <w:rPr>
          <w:rFonts w:ascii="Arial-BoldItalicMT"/>
          <w:b/>
          <w:i/>
          <w:sz w:val="25"/>
        </w:rPr>
      </w:pPr>
    </w:p>
    <w:p>
      <w:pPr>
        <w:tabs>
          <w:tab w:pos="6921" w:val="left" w:leader="none"/>
        </w:tabs>
        <w:spacing w:before="0"/>
        <w:ind w:left="1701" w:right="0" w:firstLine="0"/>
        <w:jc w:val="left"/>
        <w:rPr>
          <w:rFonts w:ascii="Arial-BoldItalicMT"/>
          <w:b/>
          <w:i/>
          <w:sz w:val="20"/>
        </w:rPr>
      </w:pPr>
      <w:bookmarkStart w:name="_bookmark1" w:id="10"/>
      <w:bookmarkEnd w:id="10"/>
      <w:r>
        <w:rPr/>
      </w:r>
      <w:bookmarkStart w:name="Effective Date: 09 August 2005File Ref: " w:id="11"/>
      <w:bookmarkEnd w:id="11"/>
      <w:r>
        <w:rPr/>
      </w:r>
      <w:r>
        <w:rPr>
          <w:rFonts w:ascii="Arial-BoldItalicMT"/>
          <w:b/>
          <w:i/>
          <w:sz w:val="20"/>
        </w:rPr>
        <w:t>Effective Date: 09</w:t>
      </w:r>
      <w:r>
        <w:rPr>
          <w:rFonts w:ascii="Arial-BoldItalicMT"/>
          <w:b/>
          <w:i/>
          <w:spacing w:val="-3"/>
          <w:sz w:val="20"/>
        </w:rPr>
        <w:t> </w:t>
      </w:r>
      <w:r>
        <w:rPr>
          <w:rFonts w:ascii="Arial-BoldItalicMT"/>
          <w:b/>
          <w:i/>
          <w:sz w:val="20"/>
        </w:rPr>
        <w:t>August</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C05/10041</w:t>
      </w:r>
    </w:p>
    <w:p>
      <w:pPr>
        <w:pStyle w:val="BodyText"/>
        <w:spacing w:before="9"/>
        <w:rPr>
          <w:rFonts w:ascii="Arial-BoldItalicMT"/>
          <w:b/>
          <w:i/>
          <w:sz w:val="19"/>
        </w:rPr>
      </w:pPr>
    </w:p>
    <w:p>
      <w:pPr>
        <w:spacing w:before="1"/>
        <w:ind w:left="1701" w:right="1708" w:firstLine="0"/>
        <w:jc w:val="left"/>
        <w:rPr>
          <w:sz w:val="20"/>
        </w:rPr>
      </w:pPr>
      <w:bookmarkStart w:name="Protection is claimed in all: goods that" w:id="12"/>
      <w:bookmarkEnd w:id="12"/>
      <w:r>
        <w:rPr/>
      </w:r>
      <w:r>
        <w:rPr>
          <w:rFonts w:ascii="Arial-BoldItalicMT"/>
          <w:b/>
          <w:i/>
          <w:sz w:val="20"/>
          <w:u w:val="thick"/>
        </w:rPr>
        <w:t>Protection is claimed in all: </w:t>
      </w:r>
      <w:r>
        <w:rPr>
          <w:sz w:val="20"/>
        </w:rPr>
        <w:t>goods that had Melbourne 2006 Commonwealth Games indicia or images applied to them.</w:t>
      </w:r>
    </w:p>
    <w:p>
      <w:pPr>
        <w:pStyle w:val="BodyText"/>
      </w:pPr>
    </w:p>
    <w:p>
      <w:pPr>
        <w:pStyle w:val="BodyText"/>
        <w:ind w:left="1701" w:right="2074" w:firstLine="55"/>
        <w:rPr>
          <w:i/>
        </w:rPr>
      </w:pPr>
      <w:r>
        <w:rPr>
          <w:b/>
        </w:rPr>
        <w:t>Melbourne 2006 Commonwealth Games images</w:t>
      </w:r>
      <w:r>
        <w:rPr>
          <w:i/>
        </w:rPr>
        <w:t>, </w:t>
      </w:r>
      <w:r>
        <w:rPr/>
        <w:t>which includes any visual or aural representation that, to a reasonable person, in the circumstances of the presentation, would suggest a connection with the Melbourne 2006 Commonwealth Games</w:t>
      </w:r>
      <w:r>
        <w:rPr>
          <w:i/>
        </w:rPr>
        <w:t>.</w:t>
      </w:r>
    </w:p>
    <w:p>
      <w:pPr>
        <w:pStyle w:val="BodyText"/>
        <w:spacing w:before="10"/>
        <w:rPr>
          <w:i/>
          <w:sz w:val="19"/>
        </w:rPr>
      </w:pPr>
    </w:p>
    <w:p>
      <w:pPr>
        <w:spacing w:before="1"/>
        <w:ind w:left="1701" w:right="0" w:firstLine="0"/>
        <w:jc w:val="left"/>
        <w:rPr>
          <w:sz w:val="20"/>
        </w:rPr>
      </w:pPr>
      <w:r>
        <w:rPr>
          <w:b/>
          <w:sz w:val="20"/>
        </w:rPr>
        <w:t>Melbourne 2006 Commonwealth Games indicia</w:t>
      </w:r>
      <w:r>
        <w:rPr>
          <w:color w:val="3B3B3B"/>
          <w:sz w:val="20"/>
        </w:rPr>
        <w:t>, which includes:</w:t>
      </w:r>
    </w:p>
    <w:p>
      <w:pPr>
        <w:pStyle w:val="ListParagraph"/>
        <w:numPr>
          <w:ilvl w:val="0"/>
          <w:numId w:val="2"/>
        </w:numPr>
        <w:tabs>
          <w:tab w:pos="2960" w:val="left" w:leader="none"/>
        </w:tabs>
        <w:spacing w:line="240" w:lineRule="auto" w:before="120" w:after="0"/>
        <w:ind w:left="2959" w:right="0" w:hanging="357"/>
        <w:jc w:val="left"/>
        <w:rPr>
          <w:sz w:val="20"/>
        </w:rPr>
      </w:pPr>
      <w:r>
        <w:rPr>
          <w:color w:val="3B3B3B"/>
          <w:sz w:val="20"/>
        </w:rPr>
        <w:t>any of the following</w:t>
      </w:r>
      <w:r>
        <w:rPr>
          <w:color w:val="3B3B3B"/>
          <w:spacing w:val="-5"/>
          <w:sz w:val="20"/>
        </w:rPr>
        <w:t> </w:t>
      </w:r>
      <w:r>
        <w:rPr>
          <w:color w:val="3B3B3B"/>
          <w:sz w:val="20"/>
        </w:rPr>
        <w:t>phrases:</w:t>
      </w:r>
    </w:p>
    <w:p>
      <w:pPr>
        <w:pStyle w:val="ListParagraph"/>
        <w:numPr>
          <w:ilvl w:val="1"/>
          <w:numId w:val="2"/>
        </w:numPr>
        <w:tabs>
          <w:tab w:pos="3502" w:val="left" w:leader="none"/>
          <w:tab w:pos="3503" w:val="left" w:leader="none"/>
        </w:tabs>
        <w:spacing w:line="230" w:lineRule="exact" w:before="0" w:after="0"/>
        <w:ind w:left="3502" w:right="0" w:hanging="462"/>
        <w:jc w:val="left"/>
        <w:rPr>
          <w:sz w:val="20"/>
        </w:rPr>
      </w:pPr>
      <w:r>
        <w:rPr>
          <w:color w:val="3B3B3B"/>
          <w:sz w:val="20"/>
        </w:rPr>
        <w:t>“Melbourne 2006 Commonwealth</w:t>
      </w:r>
      <w:r>
        <w:rPr>
          <w:color w:val="3B3B3B"/>
          <w:spacing w:val="-4"/>
          <w:sz w:val="20"/>
        </w:rPr>
        <w:t> </w:t>
      </w:r>
      <w:r>
        <w:rPr>
          <w:color w:val="3B3B3B"/>
          <w:sz w:val="20"/>
        </w:rPr>
        <w:t>Games”;</w:t>
      </w:r>
    </w:p>
    <w:p>
      <w:pPr>
        <w:pStyle w:val="ListParagraph"/>
        <w:numPr>
          <w:ilvl w:val="1"/>
          <w:numId w:val="2"/>
        </w:numPr>
        <w:tabs>
          <w:tab w:pos="3501" w:val="left" w:leader="none"/>
          <w:tab w:pos="3503" w:val="left" w:leader="none"/>
        </w:tabs>
        <w:spacing w:line="230" w:lineRule="exact" w:before="0" w:after="0"/>
        <w:ind w:left="3502" w:right="0" w:hanging="506"/>
        <w:jc w:val="left"/>
        <w:rPr>
          <w:sz w:val="20"/>
        </w:rPr>
      </w:pPr>
      <w:r>
        <w:rPr>
          <w:color w:val="3B3B3B"/>
          <w:sz w:val="20"/>
        </w:rPr>
        <w:t>“Melbourne Commonwealth</w:t>
      </w:r>
      <w:r>
        <w:rPr>
          <w:color w:val="3B3B3B"/>
          <w:spacing w:val="-3"/>
          <w:sz w:val="20"/>
        </w:rPr>
        <w:t> </w:t>
      </w:r>
      <w:r>
        <w:rPr>
          <w:color w:val="3B3B3B"/>
          <w:sz w:val="20"/>
        </w:rPr>
        <w:t>Games";</w:t>
      </w:r>
    </w:p>
    <w:p>
      <w:pPr>
        <w:pStyle w:val="ListParagraph"/>
        <w:numPr>
          <w:ilvl w:val="1"/>
          <w:numId w:val="2"/>
        </w:numPr>
        <w:tabs>
          <w:tab w:pos="3501" w:val="left" w:leader="none"/>
          <w:tab w:pos="3502" w:val="left" w:leader="none"/>
        </w:tabs>
        <w:spacing w:line="240" w:lineRule="auto" w:before="1" w:after="0"/>
        <w:ind w:left="3501" w:right="0" w:hanging="549"/>
        <w:jc w:val="left"/>
        <w:rPr>
          <w:sz w:val="20"/>
        </w:rPr>
      </w:pPr>
      <w:r>
        <w:rPr>
          <w:color w:val="3B3B3B"/>
          <w:sz w:val="20"/>
        </w:rPr>
        <w:t>“Melbourne</w:t>
      </w:r>
      <w:r>
        <w:rPr>
          <w:color w:val="3B3B3B"/>
          <w:spacing w:val="-2"/>
          <w:sz w:val="20"/>
        </w:rPr>
        <w:t> </w:t>
      </w:r>
      <w:r>
        <w:rPr>
          <w:color w:val="3B3B3B"/>
          <w:sz w:val="20"/>
        </w:rPr>
        <w:t>Games”;</w:t>
      </w:r>
    </w:p>
    <w:p>
      <w:pPr>
        <w:pStyle w:val="ListParagraph"/>
        <w:numPr>
          <w:ilvl w:val="1"/>
          <w:numId w:val="2"/>
        </w:numPr>
        <w:tabs>
          <w:tab w:pos="3501" w:val="left" w:leader="none"/>
          <w:tab w:pos="3502" w:val="left" w:leader="none"/>
        </w:tabs>
        <w:spacing w:line="230" w:lineRule="exact" w:before="0" w:after="0"/>
        <w:ind w:left="3501" w:right="0" w:hanging="561"/>
        <w:jc w:val="left"/>
        <w:rPr>
          <w:sz w:val="20"/>
        </w:rPr>
      </w:pPr>
      <w:r>
        <w:rPr>
          <w:color w:val="3B3B3B"/>
          <w:sz w:val="20"/>
        </w:rPr>
        <w:t>“Melbourne 2006</w:t>
      </w:r>
      <w:r>
        <w:rPr>
          <w:color w:val="3B3B3B"/>
          <w:spacing w:val="-3"/>
          <w:sz w:val="20"/>
        </w:rPr>
        <w:t> </w:t>
      </w:r>
      <w:r>
        <w:rPr>
          <w:color w:val="3B3B3B"/>
          <w:sz w:val="20"/>
        </w:rPr>
        <w:t>Games”;</w:t>
      </w:r>
    </w:p>
    <w:p>
      <w:pPr>
        <w:pStyle w:val="ListParagraph"/>
        <w:numPr>
          <w:ilvl w:val="1"/>
          <w:numId w:val="2"/>
        </w:numPr>
        <w:tabs>
          <w:tab w:pos="3501" w:val="left" w:leader="none"/>
          <w:tab w:pos="3502" w:val="left" w:leader="none"/>
        </w:tabs>
        <w:spacing w:line="230" w:lineRule="exact" w:before="0" w:after="0"/>
        <w:ind w:left="3501" w:right="0" w:hanging="517"/>
        <w:jc w:val="left"/>
        <w:rPr>
          <w:sz w:val="20"/>
        </w:rPr>
      </w:pPr>
      <w:r>
        <w:rPr>
          <w:color w:val="3B3B3B"/>
          <w:sz w:val="20"/>
        </w:rPr>
        <w:t>“Commonwealth</w:t>
      </w:r>
      <w:r>
        <w:rPr>
          <w:color w:val="3B3B3B"/>
          <w:spacing w:val="-2"/>
          <w:sz w:val="20"/>
        </w:rPr>
        <w:t> </w:t>
      </w:r>
      <w:r>
        <w:rPr>
          <w:color w:val="3B3B3B"/>
          <w:sz w:val="20"/>
        </w:rPr>
        <w:t>Games”;</w:t>
      </w:r>
    </w:p>
    <w:p>
      <w:pPr>
        <w:pStyle w:val="ListParagraph"/>
        <w:numPr>
          <w:ilvl w:val="1"/>
          <w:numId w:val="2"/>
        </w:numPr>
        <w:tabs>
          <w:tab w:pos="3501" w:val="left" w:leader="none"/>
          <w:tab w:pos="3502" w:val="left" w:leader="none"/>
        </w:tabs>
        <w:spacing w:line="240" w:lineRule="auto" w:before="1" w:after="0"/>
        <w:ind w:left="3501" w:right="0" w:hanging="561"/>
        <w:jc w:val="left"/>
        <w:rPr>
          <w:sz w:val="20"/>
        </w:rPr>
      </w:pPr>
      <w:r>
        <w:rPr>
          <w:color w:val="3B3B3B"/>
          <w:sz w:val="20"/>
        </w:rPr>
        <w:t>“Australian Commonwealth</w:t>
      </w:r>
      <w:r>
        <w:rPr>
          <w:color w:val="3B3B3B"/>
          <w:spacing w:val="-3"/>
          <w:sz w:val="20"/>
        </w:rPr>
        <w:t> </w:t>
      </w:r>
      <w:r>
        <w:rPr>
          <w:color w:val="3B3B3B"/>
          <w:sz w:val="20"/>
        </w:rPr>
        <w:t>Games”;</w:t>
      </w:r>
    </w:p>
    <w:p>
      <w:pPr>
        <w:pStyle w:val="ListParagraph"/>
        <w:numPr>
          <w:ilvl w:val="1"/>
          <w:numId w:val="2"/>
        </w:numPr>
        <w:tabs>
          <w:tab w:pos="3501" w:val="left" w:leader="none"/>
          <w:tab w:pos="3502" w:val="left" w:leader="none"/>
        </w:tabs>
        <w:spacing w:line="230" w:lineRule="exact" w:before="0" w:after="0"/>
        <w:ind w:left="3501" w:right="0" w:hanging="606"/>
        <w:jc w:val="left"/>
        <w:rPr>
          <w:sz w:val="20"/>
        </w:rPr>
      </w:pPr>
      <w:r>
        <w:rPr>
          <w:color w:val="3B3B3B"/>
          <w:sz w:val="20"/>
        </w:rPr>
        <w:t>“Friendly</w:t>
      </w:r>
      <w:r>
        <w:rPr>
          <w:color w:val="3B3B3B"/>
          <w:spacing w:val="-2"/>
          <w:sz w:val="20"/>
        </w:rPr>
        <w:t> </w:t>
      </w:r>
      <w:r>
        <w:rPr>
          <w:color w:val="3B3B3B"/>
          <w:sz w:val="20"/>
        </w:rPr>
        <w:t>Games”;</w:t>
      </w:r>
    </w:p>
    <w:p>
      <w:pPr>
        <w:pStyle w:val="ListParagraph"/>
        <w:numPr>
          <w:ilvl w:val="1"/>
          <w:numId w:val="2"/>
        </w:numPr>
        <w:tabs>
          <w:tab w:pos="3501" w:val="left" w:leader="none"/>
          <w:tab w:pos="3502" w:val="left" w:leader="none"/>
        </w:tabs>
        <w:spacing w:line="230" w:lineRule="exact" w:before="0" w:after="0"/>
        <w:ind w:left="3501" w:right="0" w:hanging="650"/>
        <w:jc w:val="left"/>
        <w:rPr>
          <w:sz w:val="20"/>
        </w:rPr>
      </w:pPr>
      <w:r>
        <w:rPr>
          <w:color w:val="3B3B3B"/>
          <w:sz w:val="20"/>
        </w:rPr>
        <w:t>“Queen's Baton</w:t>
      </w:r>
      <w:r>
        <w:rPr>
          <w:color w:val="3B3B3B"/>
          <w:spacing w:val="-3"/>
          <w:sz w:val="20"/>
        </w:rPr>
        <w:t> </w:t>
      </w:r>
      <w:r>
        <w:rPr>
          <w:color w:val="3B3B3B"/>
          <w:sz w:val="20"/>
        </w:rPr>
        <w:t>Relay”;</w:t>
      </w:r>
    </w:p>
    <w:p>
      <w:pPr>
        <w:pStyle w:val="ListParagraph"/>
        <w:numPr>
          <w:ilvl w:val="1"/>
          <w:numId w:val="2"/>
        </w:numPr>
        <w:tabs>
          <w:tab w:pos="3500" w:val="left" w:leader="none"/>
          <w:tab w:pos="3502" w:val="left" w:leader="none"/>
        </w:tabs>
        <w:spacing w:line="230" w:lineRule="exact" w:before="0" w:after="0"/>
        <w:ind w:left="3501" w:right="0" w:hanging="561"/>
        <w:jc w:val="left"/>
        <w:rPr>
          <w:sz w:val="20"/>
        </w:rPr>
      </w:pPr>
      <w:r>
        <w:rPr>
          <w:color w:val="3B3B3B"/>
          <w:sz w:val="20"/>
        </w:rPr>
        <w:t>“Commonwealth Games Cultural</w:t>
      </w:r>
      <w:r>
        <w:rPr>
          <w:color w:val="3B3B3B"/>
          <w:spacing w:val="-3"/>
          <w:sz w:val="20"/>
        </w:rPr>
        <w:t> </w:t>
      </w:r>
      <w:r>
        <w:rPr>
          <w:color w:val="3B3B3B"/>
          <w:sz w:val="20"/>
        </w:rPr>
        <w:t>Program”;</w:t>
      </w:r>
    </w:p>
    <w:p>
      <w:pPr>
        <w:pStyle w:val="ListParagraph"/>
        <w:numPr>
          <w:ilvl w:val="1"/>
          <w:numId w:val="2"/>
        </w:numPr>
        <w:tabs>
          <w:tab w:pos="3501" w:val="left" w:leader="none"/>
          <w:tab w:pos="3502" w:val="left" w:leader="none"/>
        </w:tabs>
        <w:spacing w:line="230" w:lineRule="exact" w:before="0" w:after="0"/>
        <w:ind w:left="3501" w:right="0" w:hanging="517"/>
        <w:jc w:val="left"/>
        <w:rPr>
          <w:sz w:val="20"/>
        </w:rPr>
      </w:pPr>
      <w:r>
        <w:rPr>
          <w:color w:val="3B3B3B"/>
          <w:sz w:val="20"/>
        </w:rPr>
        <w:t>“Melbourne 2006 Cultural</w:t>
      </w:r>
      <w:r>
        <w:rPr>
          <w:color w:val="3B3B3B"/>
          <w:spacing w:val="-4"/>
          <w:sz w:val="20"/>
        </w:rPr>
        <w:t> </w:t>
      </w:r>
      <w:r>
        <w:rPr>
          <w:color w:val="3B3B3B"/>
          <w:sz w:val="20"/>
        </w:rPr>
        <w:t>Program”;</w:t>
      </w:r>
    </w:p>
    <w:p>
      <w:pPr>
        <w:pStyle w:val="ListParagraph"/>
        <w:numPr>
          <w:ilvl w:val="1"/>
          <w:numId w:val="2"/>
        </w:numPr>
        <w:tabs>
          <w:tab w:pos="3501" w:val="left" w:leader="none"/>
          <w:tab w:pos="3502" w:val="left" w:leader="none"/>
        </w:tabs>
        <w:spacing w:line="240" w:lineRule="auto" w:before="1" w:after="0"/>
        <w:ind w:left="3501" w:right="0" w:hanging="561"/>
        <w:jc w:val="left"/>
        <w:rPr>
          <w:sz w:val="20"/>
        </w:rPr>
      </w:pPr>
      <w:r>
        <w:rPr>
          <w:color w:val="3B3B3B"/>
          <w:sz w:val="20"/>
        </w:rPr>
        <w:t>“M06 Cultural</w:t>
      </w:r>
      <w:r>
        <w:rPr>
          <w:color w:val="3B3B3B"/>
          <w:spacing w:val="-4"/>
          <w:sz w:val="20"/>
        </w:rPr>
        <w:t> </w:t>
      </w:r>
      <w:r>
        <w:rPr>
          <w:color w:val="3B3B3B"/>
          <w:sz w:val="20"/>
        </w:rPr>
        <w:t>Program";</w:t>
      </w:r>
    </w:p>
    <w:p>
      <w:pPr>
        <w:pStyle w:val="BodyText"/>
        <w:spacing w:before="11"/>
        <w:rPr>
          <w:sz w:val="19"/>
        </w:rPr>
      </w:pPr>
    </w:p>
    <w:p>
      <w:pPr>
        <w:pStyle w:val="BodyText"/>
        <w:ind w:left="2960" w:right="1963"/>
      </w:pPr>
      <w:r>
        <w:rPr>
          <w:color w:val="3B3B3B"/>
        </w:rPr>
        <w:t>(whether the reference to "2006" in subparagraphs (i),(iv) and (x) is in words or numerals);</w:t>
      </w:r>
    </w:p>
    <w:p>
      <w:pPr>
        <w:pStyle w:val="ListParagraph"/>
        <w:numPr>
          <w:ilvl w:val="0"/>
          <w:numId w:val="2"/>
        </w:numPr>
        <w:tabs>
          <w:tab w:pos="2961" w:val="left" w:leader="none"/>
        </w:tabs>
        <w:spacing w:line="230" w:lineRule="exact" w:before="1" w:after="0"/>
        <w:ind w:left="2960" w:right="0" w:hanging="358"/>
        <w:jc w:val="left"/>
        <w:rPr>
          <w:sz w:val="20"/>
        </w:rPr>
      </w:pPr>
      <w:r>
        <w:rPr>
          <w:color w:val="3B3B3B"/>
          <w:sz w:val="20"/>
        </w:rPr>
        <w:t>either "M06" or</w:t>
      </w:r>
      <w:r>
        <w:rPr>
          <w:color w:val="3B3B3B"/>
          <w:spacing w:val="-5"/>
          <w:sz w:val="20"/>
        </w:rPr>
        <w:t> </w:t>
      </w:r>
      <w:r>
        <w:rPr>
          <w:color w:val="3B3B3B"/>
          <w:sz w:val="20"/>
        </w:rPr>
        <w:t>"M2006";</w:t>
      </w:r>
    </w:p>
    <w:p>
      <w:pPr>
        <w:pStyle w:val="ListParagraph"/>
        <w:numPr>
          <w:ilvl w:val="0"/>
          <w:numId w:val="2"/>
        </w:numPr>
        <w:tabs>
          <w:tab w:pos="2963" w:val="left" w:leader="none"/>
        </w:tabs>
        <w:spacing w:line="240" w:lineRule="auto" w:before="0" w:after="0"/>
        <w:ind w:left="2961" w:right="1783" w:hanging="360"/>
        <w:jc w:val="left"/>
        <w:rPr>
          <w:sz w:val="20"/>
        </w:rPr>
      </w:pPr>
      <w:r>
        <w:rPr>
          <w:color w:val="3B3B3B"/>
          <w:sz w:val="20"/>
        </w:rPr>
        <w:t>any</w:t>
      </w:r>
      <w:r>
        <w:rPr>
          <w:color w:val="3B3B3B"/>
          <w:spacing w:val="-4"/>
          <w:sz w:val="20"/>
        </w:rPr>
        <w:t> </w:t>
      </w:r>
      <w:r>
        <w:rPr>
          <w:color w:val="3B3B3B"/>
          <w:sz w:val="20"/>
        </w:rPr>
        <w:t>combination</w:t>
      </w:r>
      <w:r>
        <w:rPr>
          <w:color w:val="3B3B3B"/>
          <w:spacing w:val="-3"/>
          <w:sz w:val="20"/>
        </w:rPr>
        <w:t> </w:t>
      </w:r>
      <w:r>
        <w:rPr>
          <w:color w:val="3B3B3B"/>
          <w:sz w:val="20"/>
        </w:rPr>
        <w:t>of</w:t>
      </w:r>
      <w:r>
        <w:rPr>
          <w:color w:val="3B3B3B"/>
          <w:spacing w:val="-4"/>
          <w:sz w:val="20"/>
        </w:rPr>
        <w:t> </w:t>
      </w:r>
      <w:r>
        <w:rPr>
          <w:color w:val="3B3B3B"/>
          <w:sz w:val="20"/>
        </w:rPr>
        <w:t>an</w:t>
      </w:r>
      <w:r>
        <w:rPr>
          <w:color w:val="3B3B3B"/>
          <w:spacing w:val="-3"/>
          <w:sz w:val="20"/>
        </w:rPr>
        <w:t> </w:t>
      </w:r>
      <w:r>
        <w:rPr>
          <w:color w:val="3B3B3B"/>
          <w:sz w:val="20"/>
        </w:rPr>
        <w:t>indicium</w:t>
      </w:r>
      <w:r>
        <w:rPr>
          <w:color w:val="3B3B3B"/>
          <w:spacing w:val="-4"/>
          <w:sz w:val="20"/>
        </w:rPr>
        <w:t> </w:t>
      </w:r>
      <w:r>
        <w:rPr>
          <w:color w:val="3B3B3B"/>
          <w:sz w:val="20"/>
        </w:rPr>
        <w:t>in</w:t>
      </w:r>
      <w:r>
        <w:rPr>
          <w:color w:val="3B3B3B"/>
          <w:spacing w:val="-3"/>
          <w:sz w:val="20"/>
        </w:rPr>
        <w:t> </w:t>
      </w:r>
      <w:r>
        <w:rPr>
          <w:color w:val="3B3B3B"/>
          <w:sz w:val="20"/>
        </w:rPr>
        <w:t>an</w:t>
      </w:r>
      <w:r>
        <w:rPr>
          <w:color w:val="3B3B3B"/>
          <w:spacing w:val="-4"/>
          <w:sz w:val="20"/>
        </w:rPr>
        <w:t> </w:t>
      </w:r>
      <w:r>
        <w:rPr>
          <w:color w:val="3B3B3B"/>
          <w:sz w:val="20"/>
        </w:rPr>
        <w:t>item</w:t>
      </w:r>
      <w:r>
        <w:rPr>
          <w:color w:val="3B3B3B"/>
          <w:spacing w:val="-3"/>
          <w:sz w:val="20"/>
        </w:rPr>
        <w:t> </w:t>
      </w:r>
      <w:r>
        <w:rPr>
          <w:color w:val="3B3B3B"/>
          <w:sz w:val="20"/>
        </w:rPr>
        <w:t>in</w:t>
      </w:r>
      <w:r>
        <w:rPr>
          <w:color w:val="3B3B3B"/>
          <w:spacing w:val="-4"/>
          <w:sz w:val="20"/>
        </w:rPr>
        <w:t> </w:t>
      </w:r>
      <w:r>
        <w:rPr>
          <w:color w:val="3B3B3B"/>
          <w:sz w:val="20"/>
        </w:rPr>
        <w:t>List</w:t>
      </w:r>
      <w:r>
        <w:rPr>
          <w:color w:val="3B3B3B"/>
          <w:spacing w:val="-3"/>
          <w:sz w:val="20"/>
        </w:rPr>
        <w:t> </w:t>
      </w:r>
      <w:r>
        <w:rPr>
          <w:color w:val="3B3B3B"/>
          <w:sz w:val="20"/>
        </w:rPr>
        <w:t>A</w:t>
      </w:r>
      <w:r>
        <w:rPr>
          <w:color w:val="3B3B3B"/>
          <w:spacing w:val="-4"/>
          <w:sz w:val="20"/>
        </w:rPr>
        <w:t> </w:t>
      </w:r>
      <w:r>
        <w:rPr>
          <w:color w:val="3B3B3B"/>
          <w:sz w:val="20"/>
        </w:rPr>
        <w:t>with</w:t>
      </w:r>
      <w:r>
        <w:rPr>
          <w:color w:val="3B3B3B"/>
          <w:spacing w:val="-3"/>
          <w:sz w:val="20"/>
        </w:rPr>
        <w:t> </w:t>
      </w:r>
      <w:r>
        <w:rPr>
          <w:color w:val="3B3B3B"/>
          <w:sz w:val="20"/>
        </w:rPr>
        <w:t>an</w:t>
      </w:r>
      <w:r>
        <w:rPr>
          <w:color w:val="3B3B3B"/>
          <w:spacing w:val="-4"/>
          <w:sz w:val="20"/>
        </w:rPr>
        <w:t> </w:t>
      </w:r>
      <w:r>
        <w:rPr>
          <w:color w:val="3B3B3B"/>
          <w:sz w:val="20"/>
        </w:rPr>
        <w:t>indicium</w:t>
      </w:r>
      <w:r>
        <w:rPr>
          <w:color w:val="3B3B3B"/>
          <w:spacing w:val="-3"/>
          <w:sz w:val="20"/>
        </w:rPr>
        <w:t> </w:t>
      </w:r>
      <w:r>
        <w:rPr>
          <w:color w:val="3B3B3B"/>
          <w:sz w:val="20"/>
        </w:rPr>
        <w:t>in</w:t>
      </w:r>
      <w:r>
        <w:rPr>
          <w:color w:val="3B3B3B"/>
          <w:spacing w:val="-4"/>
          <w:sz w:val="20"/>
        </w:rPr>
        <w:t> </w:t>
      </w:r>
      <w:r>
        <w:rPr>
          <w:color w:val="3B3B3B"/>
          <w:sz w:val="20"/>
        </w:rPr>
        <w:t>that</w:t>
      </w:r>
      <w:r>
        <w:rPr>
          <w:color w:val="3B3B3B"/>
          <w:spacing w:val="-3"/>
          <w:sz w:val="20"/>
        </w:rPr>
        <w:t> </w:t>
      </w:r>
      <w:r>
        <w:rPr>
          <w:color w:val="3B3B3B"/>
          <w:sz w:val="20"/>
        </w:rPr>
        <w:t>item</w:t>
      </w:r>
      <w:r>
        <w:rPr>
          <w:color w:val="3B3B3B"/>
          <w:spacing w:val="-4"/>
          <w:sz w:val="20"/>
        </w:rPr>
        <w:t> </w:t>
      </w:r>
      <w:r>
        <w:rPr>
          <w:color w:val="3B3B3B"/>
          <w:sz w:val="20"/>
        </w:rPr>
        <w:t>in List</w:t>
      </w:r>
      <w:r>
        <w:rPr>
          <w:color w:val="3B3B3B"/>
          <w:spacing w:val="-2"/>
          <w:sz w:val="20"/>
        </w:rPr>
        <w:t> </w:t>
      </w:r>
      <w:r>
        <w:rPr>
          <w:color w:val="3B3B3B"/>
          <w:sz w:val="20"/>
        </w:rPr>
        <w:t>B:</w:t>
      </w:r>
    </w:p>
    <w:p>
      <w:pPr>
        <w:pStyle w:val="BodyText"/>
        <w:rPr>
          <w:sz w:val="21"/>
        </w:rPr>
      </w:pPr>
    </w:p>
    <w:p>
      <w:pPr>
        <w:spacing w:before="0"/>
        <w:ind w:left="1701" w:right="0" w:firstLine="0"/>
        <w:jc w:val="left"/>
        <w:rPr>
          <w:b/>
          <w:sz w:val="20"/>
        </w:rPr>
      </w:pPr>
      <w:bookmarkStart w:name="Melbourne 2006 Commonwealth Games indici" w:id="13"/>
      <w:bookmarkEnd w:id="13"/>
      <w:r>
        <w:rPr/>
      </w:r>
      <w:r>
        <w:rPr>
          <w:b/>
          <w:sz w:val="20"/>
        </w:rPr>
        <w:t>Melbourne 2006 Commonwealth Games indicia</w:t>
      </w:r>
    </w:p>
    <w:p>
      <w:pPr>
        <w:pStyle w:val="BodyText"/>
        <w:spacing w:before="3"/>
        <w:rPr>
          <w:b/>
          <w:sz w:val="5"/>
        </w:rPr>
      </w:pPr>
    </w:p>
    <w:tbl>
      <w:tblPr>
        <w:tblW w:w="0" w:type="auto"/>
        <w:jc w:val="left"/>
        <w:tblInd w:w="18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98"/>
        <w:gridCol w:w="3990"/>
        <w:gridCol w:w="3246"/>
      </w:tblGrid>
      <w:tr>
        <w:trPr>
          <w:trHeight w:val="550" w:hRule="atLeast"/>
        </w:trPr>
        <w:tc>
          <w:tcPr>
            <w:tcW w:w="498" w:type="dxa"/>
          </w:tcPr>
          <w:p>
            <w:pPr>
              <w:pStyle w:val="TableParagraph"/>
              <w:ind w:left="44"/>
              <w:rPr>
                <w:sz w:val="20"/>
              </w:rPr>
            </w:pPr>
            <w:bookmarkStart w:name="Item" w:id="14"/>
            <w:bookmarkEnd w:id="14"/>
            <w:r>
              <w:rPr/>
            </w:r>
            <w:bookmarkStart w:name="List A indicia" w:id="15"/>
            <w:bookmarkEnd w:id="15"/>
            <w:r>
              <w:rPr/>
            </w:r>
            <w:bookmarkStart w:name="List B indicia" w:id="16"/>
            <w:bookmarkEnd w:id="16"/>
            <w:r>
              <w:rPr/>
            </w:r>
            <w:r>
              <w:rPr>
                <w:sz w:val="20"/>
              </w:rPr>
              <w:t>Item</w:t>
            </w:r>
          </w:p>
        </w:tc>
        <w:tc>
          <w:tcPr>
            <w:tcW w:w="3990" w:type="dxa"/>
          </w:tcPr>
          <w:p>
            <w:pPr>
              <w:pStyle w:val="TableParagraph"/>
              <w:rPr>
                <w:sz w:val="20"/>
              </w:rPr>
            </w:pPr>
            <w:r>
              <w:rPr>
                <w:sz w:val="20"/>
              </w:rPr>
              <w:t>List A indicia</w:t>
            </w:r>
          </w:p>
        </w:tc>
        <w:tc>
          <w:tcPr>
            <w:tcW w:w="3246" w:type="dxa"/>
          </w:tcPr>
          <w:p>
            <w:pPr>
              <w:pStyle w:val="TableParagraph"/>
              <w:ind w:left="42"/>
              <w:rPr>
                <w:sz w:val="20"/>
              </w:rPr>
            </w:pPr>
            <w:r>
              <w:rPr>
                <w:sz w:val="20"/>
              </w:rPr>
              <w:t>List B indicia</w:t>
            </w:r>
          </w:p>
        </w:tc>
      </w:tr>
      <w:tr>
        <w:trPr>
          <w:trHeight w:val="1240" w:hRule="atLeast"/>
        </w:trPr>
        <w:tc>
          <w:tcPr>
            <w:tcW w:w="498" w:type="dxa"/>
          </w:tcPr>
          <w:p>
            <w:pPr>
              <w:pStyle w:val="TableParagraph"/>
              <w:ind w:left="44"/>
              <w:rPr>
                <w:sz w:val="20"/>
              </w:rPr>
            </w:pPr>
            <w:r>
              <w:rPr>
                <w:color w:val="3B3B3B"/>
                <w:w w:val="100"/>
                <w:sz w:val="20"/>
              </w:rPr>
              <w:t>1</w:t>
            </w:r>
          </w:p>
        </w:tc>
        <w:tc>
          <w:tcPr>
            <w:tcW w:w="3990" w:type="dxa"/>
          </w:tcPr>
          <w:p>
            <w:pPr>
              <w:pStyle w:val="TableParagraph"/>
              <w:ind w:right="1823" w:hanging="1"/>
              <w:rPr>
                <w:sz w:val="20"/>
              </w:rPr>
            </w:pPr>
            <w:r>
              <w:rPr>
                <w:color w:val="3B3B3B"/>
                <w:sz w:val="20"/>
              </w:rPr>
              <w:t>"Two thousand and six" "2006"</w:t>
            </w:r>
          </w:p>
          <w:p>
            <w:pPr>
              <w:pStyle w:val="TableParagraph"/>
              <w:spacing w:before="0"/>
              <w:ind w:right="3167"/>
              <w:rPr>
                <w:sz w:val="20"/>
              </w:rPr>
            </w:pPr>
            <w:r>
              <w:rPr>
                <w:color w:val="3B3B3B"/>
                <w:sz w:val="20"/>
              </w:rPr>
              <w:t>"18th" "XVIIIth"</w:t>
            </w:r>
          </w:p>
          <w:p>
            <w:pPr>
              <w:pStyle w:val="TableParagraph"/>
              <w:spacing w:before="1"/>
              <w:rPr>
                <w:sz w:val="20"/>
              </w:rPr>
            </w:pPr>
            <w:r>
              <w:rPr>
                <w:color w:val="3B3B3B"/>
                <w:sz w:val="20"/>
              </w:rPr>
              <w:t>"Eighteenth"</w:t>
            </w:r>
          </w:p>
        </w:tc>
        <w:tc>
          <w:tcPr>
            <w:tcW w:w="3246" w:type="dxa"/>
          </w:tcPr>
          <w:p>
            <w:pPr>
              <w:pStyle w:val="TableParagraph"/>
              <w:ind w:left="42" w:right="937"/>
              <w:rPr>
                <w:sz w:val="20"/>
              </w:rPr>
            </w:pPr>
            <w:r>
              <w:rPr>
                <w:color w:val="3B3B3B"/>
                <w:sz w:val="20"/>
              </w:rPr>
              <w:t>"Commonwealth Games" "Games"</w:t>
            </w:r>
          </w:p>
        </w:tc>
      </w:tr>
      <w:tr>
        <w:trPr>
          <w:trHeight w:val="779" w:hRule="atLeast"/>
        </w:trPr>
        <w:tc>
          <w:tcPr>
            <w:tcW w:w="498" w:type="dxa"/>
          </w:tcPr>
          <w:p>
            <w:pPr>
              <w:pStyle w:val="TableParagraph"/>
              <w:ind w:left="44"/>
              <w:rPr>
                <w:sz w:val="20"/>
              </w:rPr>
            </w:pPr>
            <w:r>
              <w:rPr>
                <w:color w:val="3B3B3B"/>
                <w:w w:val="100"/>
                <w:sz w:val="20"/>
              </w:rPr>
              <w:t>2</w:t>
            </w:r>
          </w:p>
        </w:tc>
        <w:tc>
          <w:tcPr>
            <w:tcW w:w="3990" w:type="dxa"/>
          </w:tcPr>
          <w:p>
            <w:pPr>
              <w:pStyle w:val="TableParagraph"/>
              <w:ind w:right="1022" w:hanging="1"/>
              <w:rPr>
                <w:sz w:val="20"/>
              </w:rPr>
            </w:pPr>
            <w:r>
              <w:rPr>
                <w:color w:val="3B3B3B"/>
                <w:sz w:val="20"/>
              </w:rPr>
              <w:t>"Commonwealth Games" "Commonwealth Games athlete"</w:t>
            </w:r>
          </w:p>
        </w:tc>
        <w:tc>
          <w:tcPr>
            <w:tcW w:w="3246" w:type="dxa"/>
          </w:tcPr>
          <w:p>
            <w:pPr>
              <w:pStyle w:val="TableParagraph"/>
              <w:ind w:left="42" w:right="2393"/>
              <w:rPr>
                <w:sz w:val="20"/>
              </w:rPr>
            </w:pPr>
            <w:r>
              <w:rPr>
                <w:color w:val="3B3B3B"/>
                <w:sz w:val="20"/>
              </w:rPr>
              <w:t>"Gold" "Silver" "Bronze"</w:t>
            </w:r>
          </w:p>
        </w:tc>
      </w:tr>
      <w:tr>
        <w:trPr>
          <w:trHeight w:val="1011" w:hRule="atLeast"/>
        </w:trPr>
        <w:tc>
          <w:tcPr>
            <w:tcW w:w="498" w:type="dxa"/>
          </w:tcPr>
          <w:p>
            <w:pPr>
              <w:pStyle w:val="TableParagraph"/>
              <w:ind w:left="44"/>
              <w:rPr>
                <w:sz w:val="20"/>
              </w:rPr>
            </w:pPr>
            <w:r>
              <w:rPr>
                <w:color w:val="3B3B3B"/>
                <w:w w:val="100"/>
                <w:sz w:val="20"/>
              </w:rPr>
              <w:t>3</w:t>
            </w:r>
          </w:p>
        </w:tc>
        <w:tc>
          <w:tcPr>
            <w:tcW w:w="3990" w:type="dxa"/>
          </w:tcPr>
          <w:p>
            <w:pPr>
              <w:pStyle w:val="TableParagraph"/>
              <w:rPr>
                <w:sz w:val="20"/>
              </w:rPr>
            </w:pPr>
            <w:r>
              <w:rPr>
                <w:color w:val="3B3B3B"/>
                <w:sz w:val="20"/>
              </w:rPr>
              <w:t>"Australian Commonwealth Games team"</w:t>
            </w:r>
          </w:p>
        </w:tc>
        <w:tc>
          <w:tcPr>
            <w:tcW w:w="3246" w:type="dxa"/>
          </w:tcPr>
          <w:p>
            <w:pPr>
              <w:pStyle w:val="TableParagraph"/>
              <w:ind w:left="42" w:right="1581"/>
              <w:rPr>
                <w:sz w:val="20"/>
              </w:rPr>
            </w:pPr>
            <w:r>
              <w:rPr>
                <w:color w:val="3B3B3B"/>
                <w:sz w:val="20"/>
              </w:rPr>
              <w:t>"Melbourne" "Melbourne 2006"</w:t>
            </w:r>
          </w:p>
          <w:p>
            <w:pPr>
              <w:pStyle w:val="TableParagraph"/>
              <w:spacing w:before="1"/>
              <w:ind w:left="42" w:right="147"/>
              <w:rPr>
                <w:sz w:val="20"/>
              </w:rPr>
            </w:pPr>
            <w:r>
              <w:rPr>
                <w:color w:val="3B3B3B"/>
                <w:sz w:val="20"/>
              </w:rPr>
              <w:t>"Melbourne two thousand and six" "M2006"</w:t>
            </w:r>
          </w:p>
        </w:tc>
      </w:tr>
    </w:tbl>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959" w:hanging="356"/>
        <w:jc w:val="left"/>
      </w:pPr>
      <w:rPr>
        <w:rFonts w:hint="default" w:ascii="Arial" w:hAnsi="Arial" w:eastAsia="Arial" w:cs="Arial"/>
        <w:color w:val="3B3B3B"/>
        <w:spacing w:val="-1"/>
        <w:w w:val="100"/>
        <w:sz w:val="20"/>
        <w:szCs w:val="20"/>
      </w:rPr>
    </w:lvl>
    <w:lvl w:ilvl="1">
      <w:start w:val="1"/>
      <w:numFmt w:val="lowerRoman"/>
      <w:lvlText w:val="%2."/>
      <w:lvlJc w:val="left"/>
      <w:pPr>
        <w:ind w:left="3502" w:hanging="461"/>
        <w:jc w:val="right"/>
      </w:pPr>
      <w:rPr>
        <w:rFonts w:hint="default" w:ascii="Arial" w:hAnsi="Arial" w:eastAsia="Arial" w:cs="Arial"/>
        <w:color w:val="3B3B3B"/>
        <w:spacing w:val="-1"/>
        <w:w w:val="100"/>
        <w:sz w:val="20"/>
        <w:szCs w:val="20"/>
      </w:rPr>
    </w:lvl>
    <w:lvl w:ilvl="2">
      <w:start w:val="0"/>
      <w:numFmt w:val="bullet"/>
      <w:lvlText w:val="•"/>
      <w:lvlJc w:val="left"/>
      <w:pPr>
        <w:ind w:left="4433" w:hanging="461"/>
      </w:pPr>
      <w:rPr>
        <w:rFonts w:hint="default"/>
      </w:rPr>
    </w:lvl>
    <w:lvl w:ilvl="3">
      <w:start w:val="0"/>
      <w:numFmt w:val="bullet"/>
      <w:lvlText w:val="•"/>
      <w:lvlJc w:val="left"/>
      <w:pPr>
        <w:ind w:left="5366" w:hanging="461"/>
      </w:pPr>
      <w:rPr>
        <w:rFonts w:hint="default"/>
      </w:rPr>
    </w:lvl>
    <w:lvl w:ilvl="4">
      <w:start w:val="0"/>
      <w:numFmt w:val="bullet"/>
      <w:lvlText w:val="•"/>
      <w:lvlJc w:val="left"/>
      <w:pPr>
        <w:ind w:left="6300" w:hanging="461"/>
      </w:pPr>
      <w:rPr>
        <w:rFonts w:hint="default"/>
      </w:rPr>
    </w:lvl>
    <w:lvl w:ilvl="5">
      <w:start w:val="0"/>
      <w:numFmt w:val="bullet"/>
      <w:lvlText w:val="•"/>
      <w:lvlJc w:val="left"/>
      <w:pPr>
        <w:ind w:left="7233" w:hanging="461"/>
      </w:pPr>
      <w:rPr>
        <w:rFonts w:hint="default"/>
      </w:rPr>
    </w:lvl>
    <w:lvl w:ilvl="6">
      <w:start w:val="0"/>
      <w:numFmt w:val="bullet"/>
      <w:lvlText w:val="•"/>
      <w:lvlJc w:val="left"/>
      <w:pPr>
        <w:ind w:left="8166" w:hanging="461"/>
      </w:pPr>
      <w:rPr>
        <w:rFonts w:hint="default"/>
      </w:rPr>
    </w:lvl>
    <w:lvl w:ilvl="7">
      <w:start w:val="0"/>
      <w:numFmt w:val="bullet"/>
      <w:lvlText w:val="•"/>
      <w:lvlJc w:val="left"/>
      <w:pPr>
        <w:ind w:left="9100" w:hanging="461"/>
      </w:pPr>
      <w:rPr>
        <w:rFonts w:hint="default"/>
      </w:rPr>
    </w:lvl>
    <w:lvl w:ilvl="8">
      <w:start w:val="0"/>
      <w:numFmt w:val="bullet"/>
      <w:lvlText w:val="•"/>
      <w:lvlJc w:val="left"/>
      <w:pPr>
        <w:ind w:left="10033" w:hanging="461"/>
      </w:pPr>
      <w:rPr>
        <w:rFonts w:hint="default"/>
      </w:rPr>
    </w:lvl>
  </w:abstractNum>
  <w:abstractNum w:abstractNumId="0">
    <w:multiLevelType w:val="hybridMultilevel"/>
    <w:lvl w:ilvl="0">
      <w:start w:val="0"/>
      <w:numFmt w:val="bullet"/>
      <w:lvlText w:val="•"/>
      <w:lvlJc w:val="left"/>
      <w:pPr>
        <w:ind w:left="2779" w:hanging="360"/>
      </w:pPr>
      <w:rPr>
        <w:rFonts w:hint="default" w:ascii="Arial" w:hAnsi="Arial" w:eastAsia="Arial" w:cs="Arial"/>
        <w:w w:val="131"/>
        <w:sz w:val="20"/>
        <w:szCs w:val="20"/>
      </w:rPr>
    </w:lvl>
    <w:lvl w:ilvl="1">
      <w:start w:val="0"/>
      <w:numFmt w:val="bullet"/>
      <w:lvlText w:val="•"/>
      <w:lvlJc w:val="left"/>
      <w:pPr>
        <w:ind w:left="3692" w:hanging="360"/>
      </w:pPr>
      <w:rPr>
        <w:rFonts w:hint="default"/>
      </w:rPr>
    </w:lvl>
    <w:lvl w:ilvl="2">
      <w:start w:val="0"/>
      <w:numFmt w:val="bullet"/>
      <w:lvlText w:val="•"/>
      <w:lvlJc w:val="left"/>
      <w:pPr>
        <w:ind w:left="4604" w:hanging="360"/>
      </w:pPr>
      <w:rPr>
        <w:rFonts w:hint="default"/>
      </w:rPr>
    </w:lvl>
    <w:lvl w:ilvl="3">
      <w:start w:val="0"/>
      <w:numFmt w:val="bullet"/>
      <w:lvlText w:val="•"/>
      <w:lvlJc w:val="left"/>
      <w:pPr>
        <w:ind w:left="5516" w:hanging="360"/>
      </w:pPr>
      <w:rPr>
        <w:rFonts w:hint="default"/>
      </w:rPr>
    </w:lvl>
    <w:lvl w:ilvl="4">
      <w:start w:val="0"/>
      <w:numFmt w:val="bullet"/>
      <w:lvlText w:val="•"/>
      <w:lvlJc w:val="left"/>
      <w:pPr>
        <w:ind w:left="6428" w:hanging="360"/>
      </w:pPr>
      <w:rPr>
        <w:rFonts w:hint="default"/>
      </w:rPr>
    </w:lvl>
    <w:lvl w:ilvl="5">
      <w:start w:val="0"/>
      <w:numFmt w:val="bullet"/>
      <w:lvlText w:val="•"/>
      <w:lvlJc w:val="left"/>
      <w:pPr>
        <w:ind w:left="7340" w:hanging="360"/>
      </w:pPr>
      <w:rPr>
        <w:rFonts w:hint="default"/>
      </w:rPr>
    </w:lvl>
    <w:lvl w:ilvl="6">
      <w:start w:val="0"/>
      <w:numFmt w:val="bullet"/>
      <w:lvlText w:val="•"/>
      <w:lvlJc w:val="left"/>
      <w:pPr>
        <w:ind w:left="8252" w:hanging="360"/>
      </w:pPr>
      <w:rPr>
        <w:rFonts w:hint="default"/>
      </w:rPr>
    </w:lvl>
    <w:lvl w:ilvl="7">
      <w:start w:val="0"/>
      <w:numFmt w:val="bullet"/>
      <w:lvlText w:val="•"/>
      <w:lvlJc w:val="left"/>
      <w:pPr>
        <w:ind w:left="9164" w:hanging="360"/>
      </w:pPr>
      <w:rPr>
        <w:rFonts w:hint="default"/>
      </w:rPr>
    </w:lvl>
    <w:lvl w:ilvl="8">
      <w:start w:val="0"/>
      <w:numFmt w:val="bullet"/>
      <w:lvlText w:val="•"/>
      <w:lvlJc w:val="left"/>
      <w:pPr>
        <w:ind w:left="1007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113"/>
      <w:outlineLvl w:val="1"/>
    </w:pPr>
    <w:rPr>
      <w:rFonts w:ascii="Arial" w:hAnsi="Arial" w:eastAsia="Arial" w:cs="Arial"/>
      <w:b/>
      <w:bCs/>
      <w:sz w:val="28"/>
      <w:szCs w:val="28"/>
    </w:rPr>
  </w:style>
  <w:style w:styleId="ListParagraph" w:type="paragraph">
    <w:name w:val="List Paragraph"/>
    <w:basedOn w:val="Normal"/>
    <w:uiPriority w:val="1"/>
    <w:qFormat/>
    <w:pPr>
      <w:ind w:left="3501" w:hanging="358"/>
    </w:pPr>
    <w:rPr>
      <w:rFonts w:ascii="Arial" w:hAnsi="Arial" w:eastAsia="Arial" w:cs="Arial"/>
    </w:rPr>
  </w:style>
  <w:style w:styleId="TableParagraph" w:type="paragraph">
    <w:name w:val="Table Paragraph"/>
    <w:basedOn w:val="Normal"/>
    <w:uiPriority w:val="1"/>
    <w:qFormat/>
    <w:pPr>
      <w:spacing w:before="42"/>
      <w:ind w:left="4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Melbourne 2006 Commonwealth Games (Indicia and Images) Protection Act 2005 (Cth)</dc:subject>
  <dc:title>Australian Customs Notice No. 2005/42</dc:title>
  <dcterms:created xsi:type="dcterms:W3CDTF">2020-12-09T23:09:02Z</dcterms:created>
  <dcterms:modified xsi:type="dcterms:W3CDTF">2020-12-09T23:09:02Z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2005-08-19T00:00:00Z</vt:filetime>
  </property>
  <property fmtid="{D5CDD505-2E9C-101B-9397-08002B2CF9AE}" pid="3" name="Creator">
    <vt:lpwstr>Acrobat PDFMaker 5.0 for Word</vt:lpwstr>
  </property>
  <property fmtid="{D5CDD505-2E9C-101B-9397-08002B2CF9AE}" pid="4" name="LastSaved">
    <vt:filetime>2020-12-09T00:00:00Z</vt:filetime>
  </property>
</Properties>
</file>