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Title"/>
        <w:spacing w:before="232" w:after="19"/>
        <w:ind w:left="2884" w:right="2876"/>
        <w:jc w:val="center"/>
      </w:pPr>
      <w:r>
        <w:rPr/>
        <w:drawing>
          <wp:anchor distT="0" distB="0" distL="0" distR="0" allowOverlap="1" layoutInCell="1" locked="0" behindDoc="0" simplePos="0" relativeHeight="15729664">
            <wp:simplePos x="0" y="0"/>
            <wp:positionH relativeFrom="page">
              <wp:posOffset>380</wp:posOffset>
            </wp:positionH>
            <wp:positionV relativeFrom="paragraph">
              <wp:posOffset>-1161899</wp:posOffset>
            </wp:positionV>
            <wp:extent cx="7556119" cy="92734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119" cy="927345"/>
                    </a:xfrm>
                    <a:prstGeom prst="rect">
                      <a:avLst/>
                    </a:prstGeom>
                  </pic:spPr>
                </pic:pic>
              </a:graphicData>
            </a:graphic>
          </wp:anchor>
        </w:drawing>
      </w:r>
      <w:bookmarkStart w:name="AUSTRALIAN CUSTOMS NOTICE NO. 2005/51" w:id="1"/>
      <w:bookmarkEnd w:id="1"/>
      <w:r>
        <w:rPr>
          <w:b w:val="0"/>
        </w:rPr>
      </w:r>
      <w:r>
        <w:rPr/>
        <w:t>AUSTRALIAN CUSTOMS NOTICE NO. 2005/51</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BodyText"/>
        <w:spacing w:before="8"/>
        <w:rPr>
          <w:b/>
          <w:sz w:val="24"/>
        </w:rPr>
      </w:pPr>
    </w:p>
    <w:p>
      <w:pPr>
        <w:pStyle w:val="Title"/>
      </w:pPr>
      <w:r>
        <w:rPr/>
        <w:t>Integrated Cargo System - Changes to Administrative Arrangements for Concessional Items in Schedule 4 and Other Tariff Related Changes</w:t>
      </w:r>
    </w:p>
    <w:p>
      <w:pPr>
        <w:pStyle w:val="BodyText"/>
        <w:spacing w:before="228"/>
        <w:ind w:left="1701" w:right="1740"/>
      </w:pPr>
      <w:r>
        <w:rPr/>
        <w:t>There are a number of changes for declaring imported goods scheduled to arrive on or after the cut over date, of 12 October 2005, in the Integrated Cargo System (ICS), to treatment codes, use of concessional items, units of quantity and country codes. These are set out below.</w:t>
      </w:r>
    </w:p>
    <w:p>
      <w:pPr>
        <w:pStyle w:val="BodyText"/>
        <w:spacing w:before="11"/>
        <w:rPr>
          <w:sz w:val="19"/>
        </w:rPr>
      </w:pPr>
    </w:p>
    <w:p>
      <w:pPr>
        <w:pStyle w:val="BodyText"/>
        <w:ind w:left="1701"/>
      </w:pPr>
      <w:r>
        <w:rPr>
          <w:u w:val="single"/>
        </w:rPr>
        <w:t>Treatment Codes</w:t>
      </w:r>
    </w:p>
    <w:p>
      <w:pPr>
        <w:pStyle w:val="BodyText"/>
        <w:spacing w:before="11"/>
        <w:rPr>
          <w:sz w:val="11"/>
        </w:rPr>
      </w:pPr>
    </w:p>
    <w:p>
      <w:pPr>
        <w:pStyle w:val="BodyText"/>
        <w:spacing w:before="94"/>
        <w:ind w:left="1701" w:right="1796" w:hanging="1"/>
      </w:pPr>
      <w:r>
        <w:rPr/>
        <w:t>A number of concessional items in Schedule 4 to the </w:t>
      </w:r>
      <w:r>
        <w:rPr>
          <w:i/>
        </w:rPr>
        <w:t>Customs Tariff Act 1995 </w:t>
      </w:r>
      <w:r>
        <w:rPr/>
        <w:t>currently use nominal tariff classifications, commencing with the numbers 9999, to give administrative effect to the item in the Customs COMPILE Computer System. On commencement of the ICS, some of these numbers will be replaced with treatment codes. The Table below lists the affected items and the 9999 reference numbers and the replacement treatment codes.</w:t>
      </w:r>
    </w:p>
    <w:p>
      <w:pPr>
        <w:pStyle w:val="BodyText"/>
        <w:spacing w:before="10"/>
        <w:rPr>
          <w:sz w:val="19"/>
        </w:rPr>
      </w:pPr>
    </w:p>
    <w:p>
      <w:pPr>
        <w:pStyle w:val="BodyText"/>
        <w:ind w:left="1701" w:right="2136"/>
        <w:jc w:val="both"/>
      </w:pPr>
      <w:r>
        <w:rPr/>
        <w:t>The new treatment codes will operate in the same way as existing treatment codes, that is, importers will be required to quote on ICS Import Declarations the tariff classification under Schedule 3 that applies to the goods. When a treatment code is also quoted, the treatment code will provide the rate of duty specified in the item that applies to the goods.</w:t>
      </w:r>
    </w:p>
    <w:p>
      <w:pPr>
        <w:pStyle w:val="BodyText"/>
        <w:spacing w:before="1"/>
      </w:pPr>
    </w:p>
    <w:p>
      <w:pPr>
        <w:pStyle w:val="BodyText"/>
        <w:ind w:left="1701" w:right="1796"/>
      </w:pPr>
      <w:r>
        <w:rPr/>
        <w:t>Tariff working pages for Schedule 4 and the Supplementary Provisions will be reprinted prior to the commencement of the ICS, to reflect the above changes.</w:t>
      </w:r>
    </w:p>
    <w:p>
      <w:pPr>
        <w:pStyle w:val="BodyText"/>
      </w:pPr>
    </w:p>
    <w:p>
      <w:pPr>
        <w:pStyle w:val="BodyText"/>
        <w:ind w:left="1701" w:right="2191"/>
        <w:jc w:val="both"/>
      </w:pPr>
      <w:r>
        <w:rPr/>
        <w:t>Please note that the new treatment codes are NOT operative in the COMPILE System and importers should continue using the relevant 9999 reference numbers.</w:t>
      </w:r>
    </w:p>
    <w:p>
      <w:pPr>
        <w:pStyle w:val="BodyText"/>
      </w:pPr>
    </w:p>
    <w:p>
      <w:pPr>
        <w:pStyle w:val="BodyText"/>
        <w:ind w:left="1701"/>
        <w:jc w:val="both"/>
      </w:pPr>
      <w:r>
        <w:rPr>
          <w:u w:val="single"/>
        </w:rPr>
        <w:t>Use of Concessional Items</w:t>
      </w:r>
    </w:p>
    <w:p>
      <w:pPr>
        <w:pStyle w:val="BodyText"/>
        <w:spacing w:before="9"/>
        <w:rPr>
          <w:sz w:val="11"/>
        </w:rPr>
      </w:pPr>
    </w:p>
    <w:p>
      <w:pPr>
        <w:pStyle w:val="BodyText"/>
        <w:spacing w:before="94"/>
        <w:ind w:left="1701" w:right="2186"/>
      </w:pPr>
      <w:r>
        <w:rPr/>
        <w:t>The ICS will not accept Import Declarations where a Schedule 4 concessional item is used when the duty rate is equal to or greater than the duty rate that applies under</w:t>
      </w:r>
    </w:p>
    <w:p>
      <w:pPr>
        <w:pStyle w:val="BodyText"/>
        <w:spacing w:line="480" w:lineRule="auto"/>
        <w:ind w:left="1701" w:right="8401" w:hanging="1"/>
      </w:pPr>
      <w:r>
        <w:rPr/>
        <w:t>Schedules 3, 5 or 6. </w:t>
      </w:r>
      <w:r>
        <w:rPr>
          <w:u w:val="single"/>
        </w:rPr>
        <w:t>Units of Quantity</w:t>
      </w:r>
    </w:p>
    <w:p>
      <w:pPr>
        <w:pStyle w:val="BodyText"/>
        <w:ind w:left="1701" w:right="1839"/>
      </w:pPr>
      <w:r>
        <w:rPr/>
        <w:t>Statistical Codes for a number of tariff classifications, particularly in Chapter 44 (wood products), use the abbreviations “M2” and “M3” for square metres and cubic metres, respectively. In the ICS, these abbreviations have been replaced with “SM” and “CU”, respectively, and these units of quantity should be used on Import Declarations. Units of quantity can be found by selecting the icon provided on the Import Declaration.</w:t>
      </w:r>
    </w:p>
    <w:p>
      <w:pPr>
        <w:pStyle w:val="BodyText"/>
      </w:pPr>
    </w:p>
    <w:p>
      <w:pPr>
        <w:pStyle w:val="BodyText"/>
        <w:ind w:left="1701"/>
      </w:pPr>
      <w:r>
        <w:rPr/>
        <w:t>Tariff Working Pages printed for 1 July 2005 incorporated these changes, where required.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17"/>
        </w:rPr>
      </w:pPr>
      <w:r>
        <w:rPr/>
        <w:drawing>
          <wp:anchor distT="0" distB="0" distL="0" distR="0" allowOverlap="1" layoutInCell="1" locked="0" behindDoc="0" simplePos="0" relativeHeight="1">
            <wp:simplePos x="0" y="0"/>
            <wp:positionH relativeFrom="page">
              <wp:posOffset>5556503</wp:posOffset>
            </wp:positionH>
            <wp:positionV relativeFrom="paragraph">
              <wp:posOffset>150632</wp:posOffset>
            </wp:positionV>
            <wp:extent cx="1605144"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05144" cy="116204"/>
                    </a:xfrm>
                    <a:prstGeom prst="rect">
                      <a:avLst/>
                    </a:prstGeom>
                  </pic:spPr>
                </pic:pic>
              </a:graphicData>
            </a:graphic>
          </wp:anchor>
        </w:drawing>
      </w:r>
    </w:p>
    <w:p>
      <w:pPr>
        <w:spacing w:after="0"/>
        <w:rPr>
          <w:sz w:val="17"/>
        </w:rPr>
        <w:sectPr>
          <w:type w:val="continuous"/>
          <w:pgSz w:w="11900" w:h="16840"/>
          <w:pgMar w:top="860" w:bottom="280" w:left="0" w:right="0"/>
        </w:sectPr>
      </w:pPr>
    </w:p>
    <w:p>
      <w:pPr>
        <w:pStyle w:val="BodyText"/>
        <w:spacing w:before="77"/>
        <w:ind w:left="2883" w:right="2876"/>
        <w:jc w:val="center"/>
      </w:pPr>
      <w:r>
        <w:rPr/>
        <w:t>-2-</w:t>
      </w:r>
    </w:p>
    <w:p>
      <w:pPr>
        <w:pStyle w:val="BodyText"/>
        <w:spacing w:before="9"/>
        <w:rPr>
          <w:sz w:val="11"/>
        </w:rPr>
      </w:pPr>
    </w:p>
    <w:p>
      <w:pPr>
        <w:pStyle w:val="BodyText"/>
        <w:spacing w:before="94"/>
        <w:ind w:left="1701"/>
      </w:pPr>
      <w:r>
        <w:rPr>
          <w:u w:val="single"/>
        </w:rPr>
        <w:t>Country Codes</w:t>
      </w:r>
    </w:p>
    <w:p>
      <w:pPr>
        <w:pStyle w:val="BodyText"/>
        <w:spacing w:before="10"/>
        <w:rPr>
          <w:sz w:val="11"/>
        </w:rPr>
      </w:pPr>
    </w:p>
    <w:p>
      <w:pPr>
        <w:pStyle w:val="BodyText"/>
        <w:spacing w:before="94"/>
        <w:ind w:left="1701" w:right="1841"/>
      </w:pPr>
      <w:r>
        <w:rPr/>
        <w:t>Importers are reminded that the ICS requires two letter country code abbreviations and will not accept the three and four letter codes that were used in COMPILE. Country Codes can be found by selecting the icon next to the Origin Country field on the Import Declaration.</w:t>
      </w:r>
    </w:p>
    <w:p>
      <w:pPr>
        <w:pStyle w:val="BodyText"/>
        <w:spacing w:before="11"/>
        <w:rPr>
          <w:sz w:val="19"/>
        </w:rPr>
      </w:pPr>
    </w:p>
    <w:p>
      <w:pPr>
        <w:pStyle w:val="BodyText"/>
        <w:ind w:left="1701" w:right="1696"/>
      </w:pPr>
      <w:r>
        <w:rPr/>
        <w:t>The above changes do not impact on duty rates, margins of tariff preference or the classification of goods.</w:t>
      </w:r>
    </w:p>
    <w:p>
      <w:pPr>
        <w:pStyle w:val="BodyText"/>
      </w:pPr>
    </w:p>
    <w:p>
      <w:pPr>
        <w:pStyle w:val="BodyText"/>
        <w:ind w:left="1701" w:right="1839"/>
      </w:pPr>
      <w:r>
        <w:rPr/>
        <w:t>Inquiries concerning this notice may be directed to Manager, Tariff Legislation, on telephone number (02) 6275 6486.</w:t>
      </w:r>
    </w:p>
    <w:p>
      <w:pPr>
        <w:pStyle w:val="BodyText"/>
        <w:rPr>
          <w:sz w:val="22"/>
        </w:rPr>
      </w:pPr>
    </w:p>
    <w:p>
      <w:pPr>
        <w:pStyle w:val="BodyText"/>
        <w:rPr>
          <w:sz w:val="22"/>
        </w:rPr>
      </w:pPr>
    </w:p>
    <w:p>
      <w:pPr>
        <w:pStyle w:val="BodyText"/>
        <w:rPr>
          <w:sz w:val="22"/>
        </w:rPr>
      </w:pPr>
    </w:p>
    <w:p>
      <w:pPr>
        <w:pStyle w:val="BodyText"/>
        <w:spacing w:before="161"/>
        <w:ind w:left="1701" w:right="8451"/>
      </w:pPr>
      <w:r>
        <w:rPr/>
        <w:t>Sue Pitman National Manager Trade Branch CANBERRA ACT</w:t>
      </w:r>
    </w:p>
    <w:p>
      <w:pPr>
        <w:pStyle w:val="BodyText"/>
        <w:spacing w:before="121"/>
        <w:ind w:left="1978"/>
      </w:pPr>
      <w:r>
        <w:rPr/>
        <w:t>September 2005</w:t>
      </w:r>
    </w:p>
    <w:p>
      <w:pPr>
        <w:spacing w:after="0"/>
        <w:sectPr>
          <w:pgSz w:w="11900" w:h="16840"/>
          <w:pgMar w:top="1360" w:bottom="280" w:left="0" w:right="0"/>
        </w:sectPr>
      </w:pPr>
    </w:p>
    <w:p>
      <w:pPr>
        <w:spacing w:before="79"/>
        <w:ind w:left="0" w:right="1691" w:firstLine="0"/>
        <w:jc w:val="right"/>
        <w:rPr>
          <w:rFonts w:ascii="Times New Roman"/>
          <w:b/>
          <w:sz w:val="24"/>
        </w:rPr>
      </w:pPr>
      <w:r>
        <w:rPr>
          <w:rFonts w:ascii="Times New Roman"/>
          <w:b/>
          <w:sz w:val="24"/>
          <w:u w:val="thick"/>
        </w:rPr>
        <w:t>Attachment A</w:t>
      </w:r>
    </w:p>
    <w:p>
      <w:pPr>
        <w:pStyle w:val="BodyText"/>
        <w:spacing w:before="9"/>
        <w:rPr>
          <w:rFonts w:ascii="Times New Roman"/>
          <w:b/>
          <w:sz w:val="15"/>
        </w:rPr>
      </w:pPr>
    </w:p>
    <w:p>
      <w:pPr>
        <w:spacing w:before="94"/>
        <w:ind w:left="2884" w:right="2874" w:firstLine="0"/>
        <w:jc w:val="center"/>
        <w:rPr>
          <w:b/>
          <w:sz w:val="20"/>
        </w:rPr>
      </w:pPr>
      <w:r>
        <w:rPr>
          <w:b/>
          <w:sz w:val="20"/>
        </w:rPr>
        <w:t>Replacement of Certain 9999 Reference Numbers in Schedule 4 and the Supplementary Provisions to the Customs Tariff with Treatment Codes for the purposes of the ICS</w:t>
      </w:r>
    </w:p>
    <w:p>
      <w:pPr>
        <w:pStyle w:val="BodyText"/>
        <w:rPr>
          <w:b/>
        </w:rPr>
      </w:pPr>
    </w:p>
    <w:p>
      <w:pPr>
        <w:pStyle w:val="BodyText"/>
        <w:spacing w:before="1"/>
        <w:rPr>
          <w:b/>
        </w:rPr>
      </w:pPr>
    </w:p>
    <w:tbl>
      <w:tblPr>
        <w:tblW w:w="0" w:type="auto"/>
        <w:jc w:val="left"/>
        <w:tblInd w:w="18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0"/>
        <w:gridCol w:w="1980"/>
        <w:gridCol w:w="3060"/>
        <w:gridCol w:w="1800"/>
      </w:tblGrid>
      <w:tr>
        <w:trPr>
          <w:trHeight w:val="689" w:hRule="atLeast"/>
        </w:trPr>
        <w:tc>
          <w:tcPr>
            <w:tcW w:w="900" w:type="dxa"/>
          </w:tcPr>
          <w:p>
            <w:pPr>
              <w:pStyle w:val="TableParagraph"/>
              <w:spacing w:line="227" w:lineRule="exact"/>
              <w:rPr>
                <w:sz w:val="20"/>
              </w:rPr>
            </w:pPr>
            <w:r>
              <w:rPr>
                <w:sz w:val="20"/>
              </w:rPr>
              <w:t>Item</w:t>
            </w:r>
          </w:p>
        </w:tc>
        <w:tc>
          <w:tcPr>
            <w:tcW w:w="1980" w:type="dxa"/>
          </w:tcPr>
          <w:p>
            <w:pPr>
              <w:pStyle w:val="TableParagraph"/>
              <w:ind w:right="921"/>
              <w:rPr>
                <w:sz w:val="20"/>
              </w:rPr>
            </w:pPr>
            <w:r>
              <w:rPr>
                <w:sz w:val="20"/>
              </w:rPr>
              <w:t>Reference Number</w:t>
            </w:r>
          </w:p>
        </w:tc>
        <w:tc>
          <w:tcPr>
            <w:tcW w:w="3060" w:type="dxa"/>
          </w:tcPr>
          <w:p>
            <w:pPr>
              <w:pStyle w:val="TableParagraph"/>
              <w:spacing w:line="227" w:lineRule="exact"/>
              <w:rPr>
                <w:sz w:val="20"/>
              </w:rPr>
            </w:pPr>
            <w:r>
              <w:rPr>
                <w:sz w:val="20"/>
              </w:rPr>
              <w:t>Description</w:t>
            </w:r>
          </w:p>
        </w:tc>
        <w:tc>
          <w:tcPr>
            <w:tcW w:w="1800" w:type="dxa"/>
          </w:tcPr>
          <w:p>
            <w:pPr>
              <w:pStyle w:val="TableParagraph"/>
              <w:ind w:right="297" w:hanging="1"/>
              <w:rPr>
                <w:sz w:val="20"/>
              </w:rPr>
            </w:pPr>
            <w:r>
              <w:rPr>
                <w:sz w:val="20"/>
              </w:rPr>
              <w:t>New Treatment Code Number</w:t>
            </w:r>
          </w:p>
        </w:tc>
      </w:tr>
      <w:tr>
        <w:trPr>
          <w:trHeight w:val="1610" w:hRule="atLeast"/>
        </w:trPr>
        <w:tc>
          <w:tcPr>
            <w:tcW w:w="900" w:type="dxa"/>
          </w:tcPr>
          <w:p>
            <w:pPr>
              <w:pStyle w:val="TableParagraph"/>
              <w:spacing w:line="227" w:lineRule="exact"/>
              <w:rPr>
                <w:sz w:val="20"/>
              </w:rPr>
            </w:pPr>
            <w:r>
              <w:rPr>
                <w:sz w:val="20"/>
              </w:rPr>
              <w:t>18A</w:t>
            </w:r>
          </w:p>
        </w:tc>
        <w:tc>
          <w:tcPr>
            <w:tcW w:w="1980" w:type="dxa"/>
          </w:tcPr>
          <w:p>
            <w:pPr>
              <w:pStyle w:val="TableParagraph"/>
              <w:ind w:left="0"/>
              <w:rPr>
                <w:b/>
                <w:sz w:val="22"/>
              </w:rPr>
            </w:pPr>
          </w:p>
          <w:p>
            <w:pPr>
              <w:pStyle w:val="TableParagraph"/>
              <w:ind w:left="0"/>
              <w:rPr>
                <w:b/>
                <w:sz w:val="22"/>
              </w:rPr>
            </w:pPr>
          </w:p>
          <w:p>
            <w:pPr>
              <w:pStyle w:val="TableParagraph"/>
              <w:spacing w:before="181"/>
              <w:rPr>
                <w:sz w:val="20"/>
              </w:rPr>
            </w:pPr>
            <w:r>
              <w:rPr>
                <w:sz w:val="20"/>
              </w:rPr>
              <w:t>9999.30.18/10</w:t>
            </w:r>
          </w:p>
          <w:p>
            <w:pPr>
              <w:pStyle w:val="TableParagraph"/>
              <w:ind w:left="0"/>
              <w:rPr>
                <w:b/>
                <w:sz w:val="20"/>
              </w:rPr>
            </w:pPr>
          </w:p>
          <w:p>
            <w:pPr>
              <w:pStyle w:val="TableParagraph"/>
              <w:spacing w:before="1"/>
              <w:rPr>
                <w:sz w:val="20"/>
              </w:rPr>
            </w:pPr>
            <w:r>
              <w:rPr>
                <w:sz w:val="20"/>
              </w:rPr>
              <w:t>9999.30.18/20</w:t>
            </w:r>
          </w:p>
        </w:tc>
        <w:tc>
          <w:tcPr>
            <w:tcW w:w="3060" w:type="dxa"/>
          </w:tcPr>
          <w:p>
            <w:pPr>
              <w:pStyle w:val="TableParagraph"/>
              <w:ind w:right="278"/>
              <w:rPr>
                <w:sz w:val="20"/>
              </w:rPr>
            </w:pPr>
            <w:r>
              <w:rPr>
                <w:sz w:val="20"/>
              </w:rPr>
              <w:t>Goods repaired overseas free of charge</w:t>
            </w:r>
          </w:p>
          <w:p>
            <w:pPr>
              <w:pStyle w:val="TableParagraph"/>
              <w:spacing w:line="460" w:lineRule="exact" w:before="46"/>
              <w:ind w:right="400"/>
              <w:rPr>
                <w:sz w:val="20"/>
              </w:rPr>
            </w:pPr>
            <w:r>
              <w:rPr>
                <w:sz w:val="20"/>
              </w:rPr>
              <w:t>Value of goods before repair Value of repair</w:t>
            </w:r>
          </w:p>
        </w:tc>
        <w:tc>
          <w:tcPr>
            <w:tcW w:w="1800" w:type="dxa"/>
          </w:tcPr>
          <w:p>
            <w:pPr>
              <w:pStyle w:val="TableParagraph"/>
              <w:ind w:left="0"/>
              <w:rPr>
                <w:b/>
                <w:sz w:val="22"/>
              </w:rPr>
            </w:pPr>
          </w:p>
          <w:p>
            <w:pPr>
              <w:pStyle w:val="TableParagraph"/>
              <w:ind w:left="0"/>
              <w:rPr>
                <w:b/>
                <w:sz w:val="22"/>
              </w:rPr>
            </w:pPr>
          </w:p>
          <w:p>
            <w:pPr>
              <w:pStyle w:val="TableParagraph"/>
              <w:spacing w:before="181"/>
              <w:rPr>
                <w:sz w:val="20"/>
              </w:rPr>
            </w:pPr>
            <w:r>
              <w:rPr>
                <w:sz w:val="20"/>
              </w:rPr>
              <w:t>418</w:t>
            </w:r>
          </w:p>
          <w:p>
            <w:pPr>
              <w:pStyle w:val="TableParagraph"/>
              <w:ind w:left="0"/>
              <w:rPr>
                <w:b/>
                <w:sz w:val="20"/>
              </w:rPr>
            </w:pPr>
          </w:p>
          <w:p>
            <w:pPr>
              <w:pStyle w:val="TableParagraph"/>
              <w:spacing w:before="1"/>
              <w:rPr>
                <w:sz w:val="20"/>
              </w:rPr>
            </w:pPr>
            <w:r>
              <w:rPr>
                <w:sz w:val="20"/>
              </w:rPr>
              <w:t>518</w:t>
            </w:r>
          </w:p>
        </w:tc>
      </w:tr>
      <w:tr>
        <w:trPr>
          <w:trHeight w:val="460" w:hRule="atLeast"/>
        </w:trPr>
        <w:tc>
          <w:tcPr>
            <w:tcW w:w="900" w:type="dxa"/>
          </w:tcPr>
          <w:p>
            <w:pPr>
              <w:pStyle w:val="TableParagraph"/>
              <w:spacing w:line="227" w:lineRule="exact"/>
              <w:rPr>
                <w:sz w:val="20"/>
              </w:rPr>
            </w:pPr>
            <w:r>
              <w:rPr>
                <w:sz w:val="20"/>
              </w:rPr>
              <w:t>18B</w:t>
            </w:r>
          </w:p>
        </w:tc>
        <w:tc>
          <w:tcPr>
            <w:tcW w:w="1980" w:type="dxa"/>
          </w:tcPr>
          <w:p>
            <w:pPr>
              <w:pStyle w:val="TableParagraph"/>
              <w:spacing w:line="227" w:lineRule="exact"/>
              <w:rPr>
                <w:sz w:val="20"/>
              </w:rPr>
            </w:pPr>
            <w:r>
              <w:rPr>
                <w:sz w:val="20"/>
              </w:rPr>
              <w:t>9999.31.18/24</w:t>
            </w:r>
          </w:p>
        </w:tc>
        <w:tc>
          <w:tcPr>
            <w:tcW w:w="3060" w:type="dxa"/>
          </w:tcPr>
          <w:p>
            <w:pPr>
              <w:pStyle w:val="TableParagraph"/>
              <w:spacing w:line="227" w:lineRule="exact"/>
              <w:rPr>
                <w:sz w:val="20"/>
              </w:rPr>
            </w:pPr>
            <w:r>
              <w:rPr>
                <w:sz w:val="20"/>
              </w:rPr>
              <w:t>Goods supplied under warranty</w:t>
            </w:r>
          </w:p>
        </w:tc>
        <w:tc>
          <w:tcPr>
            <w:tcW w:w="1800" w:type="dxa"/>
          </w:tcPr>
          <w:p>
            <w:pPr>
              <w:pStyle w:val="TableParagraph"/>
              <w:spacing w:line="227" w:lineRule="exact"/>
              <w:rPr>
                <w:sz w:val="20"/>
              </w:rPr>
            </w:pPr>
            <w:r>
              <w:rPr>
                <w:sz w:val="20"/>
              </w:rPr>
              <w:t>618</w:t>
            </w:r>
          </w:p>
        </w:tc>
      </w:tr>
      <w:tr>
        <w:trPr>
          <w:trHeight w:val="689" w:hRule="atLeast"/>
        </w:trPr>
        <w:tc>
          <w:tcPr>
            <w:tcW w:w="900" w:type="dxa"/>
          </w:tcPr>
          <w:p>
            <w:pPr>
              <w:pStyle w:val="TableParagraph"/>
              <w:spacing w:line="227" w:lineRule="exact"/>
              <w:rPr>
                <w:sz w:val="20"/>
              </w:rPr>
            </w:pPr>
            <w:r>
              <w:rPr>
                <w:sz w:val="20"/>
              </w:rPr>
              <w:t>18C</w:t>
            </w:r>
          </w:p>
        </w:tc>
        <w:tc>
          <w:tcPr>
            <w:tcW w:w="1980" w:type="dxa"/>
          </w:tcPr>
          <w:p>
            <w:pPr>
              <w:pStyle w:val="TableParagraph"/>
              <w:spacing w:line="227" w:lineRule="exact"/>
              <w:ind w:left="105"/>
              <w:rPr>
                <w:sz w:val="20"/>
              </w:rPr>
            </w:pPr>
            <w:r>
              <w:rPr>
                <w:sz w:val="20"/>
              </w:rPr>
              <w:t>9999.32.18/25</w:t>
            </w:r>
          </w:p>
        </w:tc>
        <w:tc>
          <w:tcPr>
            <w:tcW w:w="3060" w:type="dxa"/>
          </w:tcPr>
          <w:p>
            <w:pPr>
              <w:pStyle w:val="TableParagraph"/>
              <w:ind w:right="377"/>
              <w:rPr>
                <w:sz w:val="20"/>
              </w:rPr>
            </w:pPr>
            <w:r>
              <w:rPr>
                <w:sz w:val="20"/>
              </w:rPr>
              <w:t>Goods supplied under global product recall</w:t>
            </w:r>
          </w:p>
        </w:tc>
        <w:tc>
          <w:tcPr>
            <w:tcW w:w="1800" w:type="dxa"/>
          </w:tcPr>
          <w:p>
            <w:pPr>
              <w:pStyle w:val="TableParagraph"/>
              <w:spacing w:line="227" w:lineRule="exact"/>
              <w:rPr>
                <w:sz w:val="20"/>
              </w:rPr>
            </w:pPr>
            <w:r>
              <w:rPr>
                <w:sz w:val="20"/>
              </w:rPr>
              <w:t>718</w:t>
            </w:r>
          </w:p>
        </w:tc>
      </w:tr>
      <w:tr>
        <w:trPr>
          <w:trHeight w:val="690" w:hRule="atLeast"/>
        </w:trPr>
        <w:tc>
          <w:tcPr>
            <w:tcW w:w="900" w:type="dxa"/>
          </w:tcPr>
          <w:p>
            <w:pPr>
              <w:pStyle w:val="TableParagraph"/>
              <w:spacing w:line="227" w:lineRule="exact"/>
              <w:rPr>
                <w:sz w:val="20"/>
              </w:rPr>
            </w:pPr>
            <w:r>
              <w:rPr>
                <w:sz w:val="20"/>
              </w:rPr>
              <w:t>19</w:t>
            </w:r>
          </w:p>
        </w:tc>
        <w:tc>
          <w:tcPr>
            <w:tcW w:w="1980" w:type="dxa"/>
          </w:tcPr>
          <w:p>
            <w:pPr>
              <w:pStyle w:val="TableParagraph"/>
              <w:spacing w:line="227" w:lineRule="exact"/>
              <w:rPr>
                <w:sz w:val="20"/>
              </w:rPr>
            </w:pPr>
            <w:r>
              <w:rPr>
                <w:sz w:val="20"/>
              </w:rPr>
              <w:t>9999.30.19/26</w:t>
            </w:r>
          </w:p>
        </w:tc>
        <w:tc>
          <w:tcPr>
            <w:tcW w:w="3060" w:type="dxa"/>
          </w:tcPr>
          <w:p>
            <w:pPr>
              <w:pStyle w:val="TableParagraph"/>
              <w:ind w:right="544"/>
              <w:rPr>
                <w:sz w:val="20"/>
              </w:rPr>
            </w:pPr>
            <w:r>
              <w:rPr>
                <w:sz w:val="20"/>
              </w:rPr>
              <w:t>Repaired goods, subject to a TCO</w:t>
            </w:r>
          </w:p>
        </w:tc>
        <w:tc>
          <w:tcPr>
            <w:tcW w:w="1800" w:type="dxa"/>
          </w:tcPr>
          <w:p>
            <w:pPr>
              <w:pStyle w:val="TableParagraph"/>
              <w:spacing w:line="227" w:lineRule="exact"/>
              <w:rPr>
                <w:sz w:val="20"/>
              </w:rPr>
            </w:pPr>
            <w:r>
              <w:rPr>
                <w:sz w:val="20"/>
              </w:rPr>
              <w:t>519</w:t>
            </w:r>
          </w:p>
        </w:tc>
      </w:tr>
      <w:tr>
        <w:trPr>
          <w:trHeight w:val="1379" w:hRule="atLeast"/>
        </w:trPr>
        <w:tc>
          <w:tcPr>
            <w:tcW w:w="900" w:type="dxa"/>
          </w:tcPr>
          <w:p>
            <w:pPr>
              <w:pStyle w:val="TableParagraph"/>
              <w:spacing w:line="227" w:lineRule="exact"/>
              <w:rPr>
                <w:sz w:val="20"/>
              </w:rPr>
            </w:pPr>
            <w:r>
              <w:rPr>
                <w:sz w:val="20"/>
              </w:rPr>
              <w:t>20A</w:t>
            </w:r>
          </w:p>
        </w:tc>
        <w:tc>
          <w:tcPr>
            <w:tcW w:w="1980" w:type="dxa"/>
          </w:tcPr>
          <w:p>
            <w:pPr>
              <w:pStyle w:val="TableParagraph"/>
              <w:ind w:left="0"/>
              <w:rPr>
                <w:b/>
                <w:sz w:val="22"/>
              </w:rPr>
            </w:pPr>
          </w:p>
          <w:p>
            <w:pPr>
              <w:pStyle w:val="TableParagraph"/>
              <w:spacing w:before="8"/>
              <w:ind w:left="0"/>
              <w:rPr>
                <w:b/>
                <w:sz w:val="17"/>
              </w:rPr>
            </w:pPr>
          </w:p>
          <w:p>
            <w:pPr>
              <w:pStyle w:val="TableParagraph"/>
              <w:rPr>
                <w:sz w:val="20"/>
              </w:rPr>
            </w:pPr>
            <w:r>
              <w:rPr>
                <w:sz w:val="20"/>
              </w:rPr>
              <w:t>9999.32.20/28</w:t>
            </w:r>
          </w:p>
          <w:p>
            <w:pPr>
              <w:pStyle w:val="TableParagraph"/>
              <w:spacing w:before="11"/>
              <w:ind w:left="0"/>
              <w:rPr>
                <w:b/>
                <w:sz w:val="19"/>
              </w:rPr>
            </w:pPr>
          </w:p>
          <w:p>
            <w:pPr>
              <w:pStyle w:val="TableParagraph"/>
              <w:rPr>
                <w:sz w:val="20"/>
              </w:rPr>
            </w:pPr>
            <w:r>
              <w:rPr>
                <w:sz w:val="20"/>
              </w:rPr>
              <w:t>9999.32.20/29</w:t>
            </w:r>
          </w:p>
        </w:tc>
        <w:tc>
          <w:tcPr>
            <w:tcW w:w="3060" w:type="dxa"/>
          </w:tcPr>
          <w:p>
            <w:pPr>
              <w:pStyle w:val="TableParagraph"/>
              <w:spacing w:line="480" w:lineRule="auto"/>
              <w:ind w:right="400"/>
              <w:rPr>
                <w:sz w:val="20"/>
              </w:rPr>
            </w:pPr>
            <w:r>
              <w:rPr>
                <w:sz w:val="20"/>
              </w:rPr>
              <w:t>Goods exported for repair Value of goods before repair</w:t>
            </w:r>
          </w:p>
          <w:p>
            <w:pPr>
              <w:pStyle w:val="TableParagraph"/>
              <w:spacing w:line="229" w:lineRule="exact"/>
              <w:rPr>
                <w:sz w:val="20"/>
              </w:rPr>
            </w:pPr>
            <w:r>
              <w:rPr>
                <w:sz w:val="20"/>
              </w:rPr>
              <w:t>Cost of repair</w:t>
            </w:r>
          </w:p>
        </w:tc>
        <w:tc>
          <w:tcPr>
            <w:tcW w:w="1800" w:type="dxa"/>
          </w:tcPr>
          <w:p>
            <w:pPr>
              <w:pStyle w:val="TableParagraph"/>
              <w:ind w:left="0"/>
              <w:rPr>
                <w:b/>
                <w:sz w:val="22"/>
              </w:rPr>
            </w:pPr>
          </w:p>
          <w:p>
            <w:pPr>
              <w:pStyle w:val="TableParagraph"/>
              <w:spacing w:before="8"/>
              <w:ind w:left="0"/>
              <w:rPr>
                <w:b/>
                <w:sz w:val="17"/>
              </w:rPr>
            </w:pPr>
          </w:p>
          <w:p>
            <w:pPr>
              <w:pStyle w:val="TableParagraph"/>
              <w:rPr>
                <w:sz w:val="20"/>
              </w:rPr>
            </w:pPr>
            <w:r>
              <w:rPr>
                <w:sz w:val="20"/>
              </w:rPr>
              <w:t>320</w:t>
            </w:r>
          </w:p>
          <w:p>
            <w:pPr>
              <w:pStyle w:val="TableParagraph"/>
              <w:spacing w:before="11"/>
              <w:ind w:left="0"/>
              <w:rPr>
                <w:b/>
                <w:sz w:val="19"/>
              </w:rPr>
            </w:pPr>
          </w:p>
          <w:p>
            <w:pPr>
              <w:pStyle w:val="TableParagraph"/>
              <w:rPr>
                <w:sz w:val="20"/>
              </w:rPr>
            </w:pPr>
            <w:r>
              <w:rPr>
                <w:sz w:val="20"/>
              </w:rPr>
              <w:t>329</w:t>
            </w:r>
          </w:p>
        </w:tc>
      </w:tr>
      <w:tr>
        <w:trPr>
          <w:trHeight w:val="1610" w:hRule="atLeast"/>
        </w:trPr>
        <w:tc>
          <w:tcPr>
            <w:tcW w:w="900" w:type="dxa"/>
          </w:tcPr>
          <w:p>
            <w:pPr>
              <w:pStyle w:val="TableParagraph"/>
              <w:spacing w:line="227" w:lineRule="exact"/>
              <w:rPr>
                <w:sz w:val="20"/>
              </w:rPr>
            </w:pPr>
            <w:r>
              <w:rPr>
                <w:sz w:val="20"/>
              </w:rPr>
              <w:t>20B</w:t>
            </w:r>
          </w:p>
        </w:tc>
        <w:tc>
          <w:tcPr>
            <w:tcW w:w="1980" w:type="dxa"/>
          </w:tcPr>
          <w:p>
            <w:pPr>
              <w:pStyle w:val="TableParagraph"/>
              <w:ind w:left="0"/>
              <w:rPr>
                <w:b/>
                <w:sz w:val="22"/>
              </w:rPr>
            </w:pPr>
          </w:p>
          <w:p>
            <w:pPr>
              <w:pStyle w:val="TableParagraph"/>
              <w:ind w:left="0"/>
              <w:rPr>
                <w:b/>
                <w:sz w:val="22"/>
              </w:rPr>
            </w:pPr>
          </w:p>
          <w:p>
            <w:pPr>
              <w:pStyle w:val="TableParagraph"/>
              <w:spacing w:before="181"/>
              <w:rPr>
                <w:sz w:val="20"/>
              </w:rPr>
            </w:pPr>
            <w:r>
              <w:rPr>
                <w:sz w:val="20"/>
              </w:rPr>
              <w:t>9999.33.20/38</w:t>
            </w:r>
          </w:p>
          <w:p>
            <w:pPr>
              <w:pStyle w:val="TableParagraph"/>
              <w:spacing w:before="11"/>
              <w:ind w:left="0"/>
              <w:rPr>
                <w:b/>
                <w:sz w:val="19"/>
              </w:rPr>
            </w:pPr>
          </w:p>
          <w:p>
            <w:pPr>
              <w:pStyle w:val="TableParagraph"/>
              <w:rPr>
                <w:sz w:val="20"/>
              </w:rPr>
            </w:pPr>
            <w:r>
              <w:rPr>
                <w:sz w:val="20"/>
              </w:rPr>
              <w:t>9999.33.20/39</w:t>
            </w:r>
          </w:p>
        </w:tc>
        <w:tc>
          <w:tcPr>
            <w:tcW w:w="3060" w:type="dxa"/>
          </w:tcPr>
          <w:p>
            <w:pPr>
              <w:pStyle w:val="TableParagraph"/>
              <w:ind w:right="589"/>
              <w:rPr>
                <w:sz w:val="20"/>
              </w:rPr>
            </w:pPr>
            <w:r>
              <w:rPr>
                <w:sz w:val="20"/>
              </w:rPr>
              <w:t>Goods exported for repair, batch repair process</w:t>
            </w:r>
          </w:p>
          <w:p>
            <w:pPr>
              <w:pStyle w:val="TableParagraph"/>
              <w:spacing w:line="460" w:lineRule="atLeast"/>
              <w:ind w:right="400"/>
              <w:rPr>
                <w:sz w:val="20"/>
              </w:rPr>
            </w:pPr>
            <w:r>
              <w:rPr>
                <w:sz w:val="20"/>
              </w:rPr>
              <w:t>Value of goods before repair Cost of repair</w:t>
            </w:r>
          </w:p>
        </w:tc>
        <w:tc>
          <w:tcPr>
            <w:tcW w:w="1800" w:type="dxa"/>
          </w:tcPr>
          <w:p>
            <w:pPr>
              <w:pStyle w:val="TableParagraph"/>
              <w:ind w:left="0"/>
              <w:rPr>
                <w:b/>
                <w:sz w:val="22"/>
              </w:rPr>
            </w:pPr>
          </w:p>
          <w:p>
            <w:pPr>
              <w:pStyle w:val="TableParagraph"/>
              <w:ind w:left="0"/>
              <w:rPr>
                <w:b/>
                <w:sz w:val="22"/>
              </w:rPr>
            </w:pPr>
          </w:p>
          <w:p>
            <w:pPr>
              <w:pStyle w:val="TableParagraph"/>
              <w:spacing w:before="181"/>
              <w:rPr>
                <w:sz w:val="20"/>
              </w:rPr>
            </w:pPr>
            <w:r>
              <w:rPr>
                <w:sz w:val="20"/>
              </w:rPr>
              <w:t>920</w:t>
            </w:r>
          </w:p>
          <w:p>
            <w:pPr>
              <w:pStyle w:val="TableParagraph"/>
              <w:spacing w:before="11"/>
              <w:ind w:left="0"/>
              <w:rPr>
                <w:b/>
                <w:sz w:val="19"/>
              </w:rPr>
            </w:pPr>
          </w:p>
          <w:p>
            <w:pPr>
              <w:pStyle w:val="TableParagraph"/>
              <w:rPr>
                <w:sz w:val="20"/>
              </w:rPr>
            </w:pPr>
            <w:r>
              <w:rPr>
                <w:sz w:val="20"/>
              </w:rPr>
              <w:t>929</w:t>
            </w:r>
          </w:p>
        </w:tc>
      </w:tr>
      <w:tr>
        <w:trPr>
          <w:trHeight w:val="689" w:hRule="atLeast"/>
        </w:trPr>
        <w:tc>
          <w:tcPr>
            <w:tcW w:w="900" w:type="dxa"/>
          </w:tcPr>
          <w:p>
            <w:pPr>
              <w:pStyle w:val="TableParagraph"/>
              <w:spacing w:line="227" w:lineRule="exact"/>
              <w:rPr>
                <w:sz w:val="20"/>
              </w:rPr>
            </w:pPr>
            <w:r>
              <w:rPr>
                <w:sz w:val="20"/>
              </w:rPr>
              <w:t>21</w:t>
            </w:r>
          </w:p>
        </w:tc>
        <w:tc>
          <w:tcPr>
            <w:tcW w:w="1980" w:type="dxa"/>
          </w:tcPr>
          <w:p>
            <w:pPr>
              <w:pStyle w:val="TableParagraph"/>
              <w:spacing w:line="227" w:lineRule="exact"/>
              <w:rPr>
                <w:sz w:val="20"/>
              </w:rPr>
            </w:pPr>
            <w:r>
              <w:rPr>
                <w:sz w:val="20"/>
              </w:rPr>
              <w:t>9999.30.21/30</w:t>
            </w:r>
          </w:p>
        </w:tc>
        <w:tc>
          <w:tcPr>
            <w:tcW w:w="3060" w:type="dxa"/>
          </w:tcPr>
          <w:p>
            <w:pPr>
              <w:pStyle w:val="TableParagraph"/>
              <w:ind w:right="644" w:firstLine="1"/>
              <w:rPr>
                <w:sz w:val="20"/>
              </w:rPr>
            </w:pPr>
            <w:r>
              <w:rPr>
                <w:sz w:val="20"/>
              </w:rPr>
              <w:t>Goods imported for repair and to be exported</w:t>
            </w:r>
          </w:p>
        </w:tc>
        <w:tc>
          <w:tcPr>
            <w:tcW w:w="1800" w:type="dxa"/>
          </w:tcPr>
          <w:p>
            <w:pPr>
              <w:pStyle w:val="TableParagraph"/>
              <w:spacing w:line="227" w:lineRule="exact"/>
              <w:rPr>
                <w:sz w:val="20"/>
              </w:rPr>
            </w:pPr>
            <w:r>
              <w:rPr>
                <w:sz w:val="20"/>
              </w:rPr>
              <w:t>921</w:t>
            </w:r>
          </w:p>
        </w:tc>
      </w:tr>
      <w:tr>
        <w:trPr>
          <w:trHeight w:val="460" w:hRule="atLeast"/>
        </w:trPr>
        <w:tc>
          <w:tcPr>
            <w:tcW w:w="900" w:type="dxa"/>
          </w:tcPr>
          <w:p>
            <w:pPr>
              <w:pStyle w:val="TableParagraph"/>
              <w:spacing w:line="227" w:lineRule="exact"/>
              <w:rPr>
                <w:sz w:val="20"/>
              </w:rPr>
            </w:pPr>
            <w:r>
              <w:rPr>
                <w:sz w:val="20"/>
              </w:rPr>
              <w:t>62</w:t>
            </w:r>
          </w:p>
        </w:tc>
        <w:tc>
          <w:tcPr>
            <w:tcW w:w="1980" w:type="dxa"/>
          </w:tcPr>
          <w:p>
            <w:pPr>
              <w:pStyle w:val="TableParagraph"/>
              <w:spacing w:line="227" w:lineRule="exact"/>
              <w:rPr>
                <w:sz w:val="20"/>
              </w:rPr>
            </w:pPr>
            <w:r>
              <w:rPr>
                <w:sz w:val="20"/>
              </w:rPr>
              <w:t>N/A</w:t>
            </w:r>
          </w:p>
        </w:tc>
        <w:tc>
          <w:tcPr>
            <w:tcW w:w="3060" w:type="dxa"/>
          </w:tcPr>
          <w:p>
            <w:pPr>
              <w:pStyle w:val="TableParagraph"/>
              <w:spacing w:line="227" w:lineRule="exact"/>
              <w:rPr>
                <w:sz w:val="20"/>
              </w:rPr>
            </w:pPr>
            <w:r>
              <w:rPr>
                <w:sz w:val="20"/>
              </w:rPr>
              <w:t>Goods subject to cheese quota</w:t>
            </w:r>
          </w:p>
        </w:tc>
        <w:tc>
          <w:tcPr>
            <w:tcW w:w="1800" w:type="dxa"/>
          </w:tcPr>
          <w:p>
            <w:pPr>
              <w:pStyle w:val="TableParagraph"/>
              <w:spacing w:line="227" w:lineRule="exact"/>
              <w:rPr>
                <w:sz w:val="20"/>
              </w:rPr>
            </w:pPr>
            <w:r>
              <w:rPr>
                <w:sz w:val="20"/>
              </w:rPr>
              <w:t>462</w:t>
            </w:r>
          </w:p>
        </w:tc>
      </w:tr>
      <w:tr>
        <w:trPr>
          <w:trHeight w:val="689" w:hRule="atLeast"/>
        </w:trPr>
        <w:tc>
          <w:tcPr>
            <w:tcW w:w="900" w:type="dxa"/>
          </w:tcPr>
          <w:p>
            <w:pPr>
              <w:pStyle w:val="TableParagraph"/>
              <w:spacing w:line="227" w:lineRule="exact"/>
              <w:rPr>
                <w:sz w:val="20"/>
              </w:rPr>
            </w:pPr>
            <w:r>
              <w:rPr>
                <w:sz w:val="20"/>
              </w:rPr>
              <w:t>109 *</w:t>
            </w:r>
          </w:p>
        </w:tc>
        <w:tc>
          <w:tcPr>
            <w:tcW w:w="1980" w:type="dxa"/>
          </w:tcPr>
          <w:p>
            <w:pPr>
              <w:pStyle w:val="TableParagraph"/>
              <w:spacing w:line="227" w:lineRule="exact"/>
              <w:rPr>
                <w:sz w:val="20"/>
              </w:rPr>
            </w:pPr>
            <w:r>
              <w:rPr>
                <w:sz w:val="20"/>
              </w:rPr>
              <w:t>9999.31.26/07</w:t>
            </w:r>
          </w:p>
        </w:tc>
        <w:tc>
          <w:tcPr>
            <w:tcW w:w="3060" w:type="dxa"/>
          </w:tcPr>
          <w:p>
            <w:pPr>
              <w:pStyle w:val="TableParagraph"/>
              <w:ind w:right="411"/>
              <w:rPr>
                <w:sz w:val="20"/>
              </w:rPr>
            </w:pPr>
            <w:r>
              <w:rPr>
                <w:sz w:val="20"/>
              </w:rPr>
              <w:t>Goods for exhibition at trade fairs</w:t>
            </w:r>
          </w:p>
        </w:tc>
        <w:tc>
          <w:tcPr>
            <w:tcW w:w="1800" w:type="dxa"/>
          </w:tcPr>
          <w:p>
            <w:pPr>
              <w:pStyle w:val="TableParagraph"/>
              <w:spacing w:line="227" w:lineRule="exact"/>
              <w:rPr>
                <w:sz w:val="20"/>
              </w:rPr>
            </w:pPr>
            <w:r>
              <w:rPr>
                <w:sz w:val="20"/>
              </w:rPr>
              <w:t>109</w:t>
            </w:r>
          </w:p>
        </w:tc>
      </w:tr>
    </w:tbl>
    <w:p>
      <w:pPr>
        <w:pStyle w:val="BodyText"/>
        <w:spacing w:before="7"/>
        <w:rPr>
          <w:b/>
          <w:sz w:val="11"/>
        </w:rPr>
      </w:pPr>
    </w:p>
    <w:p>
      <w:pPr>
        <w:pStyle w:val="BodyText"/>
        <w:spacing w:before="94"/>
        <w:ind w:left="1701"/>
      </w:pPr>
      <w:r>
        <w:rPr/>
        <w:t>* (Item 109 of the Supplementary Provisions)</w:t>
      </w:r>
    </w:p>
    <w:sectPr>
      <w:pgSz w:w="11900" w:h="16840"/>
      <w:pgMar w:top="13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1"/>
      <w:ind w:left="1701" w:right="1839"/>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6"/>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Integrated Cargo System - Changes to Administrative Arrangements for Concessional Items in Schedule 4 and Other Tariff Related Changes</dc:subject>
  <dc:title>Australian Customs Notice 2005/51</dc:title>
  <dcterms:created xsi:type="dcterms:W3CDTF">2020-12-09T23:15:59Z</dcterms:created>
  <dcterms:modified xsi:type="dcterms:W3CDTF">2020-12-09T23:15:59Z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2005-09-12T00:00:00Z</vt:filetime>
  </property>
  <property fmtid="{D5CDD505-2E9C-101B-9397-08002B2CF9AE}" pid="3" name="Creator">
    <vt:lpwstr>Acrobat PDFMaker 6.0 for Word</vt:lpwstr>
  </property>
  <property fmtid="{D5CDD505-2E9C-101B-9397-08002B2CF9AE}" pid="4" name="LastSaved">
    <vt:filetime>2020-12-09T00:00:00Z</vt:filetime>
  </property>
</Properties>
</file>