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Title"/>
        <w:spacing w:after="19"/>
        <w:ind w:left="2884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380</wp:posOffset>
            </wp:positionH>
            <wp:positionV relativeFrom="paragraph">
              <wp:posOffset>-1161899</wp:posOffset>
            </wp:positionV>
            <wp:extent cx="7556119" cy="92734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119" cy="92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USTRALIAN CUSTOMS NOTICE NO. 2005/60" w:id="1"/>
      <w:bookmarkEnd w:id="1"/>
      <w:r>
        <w:rPr>
          <w:b w:val="0"/>
        </w:rPr>
      </w:r>
      <w:r>
        <w:rPr/>
        <w:t>AUSTRALIAN CUSTOMS NOTICE NO. 2005/60</w:t>
      </w:r>
    </w:p>
    <w:p>
      <w:pPr>
        <w:pStyle w:val="BodyText"/>
        <w:spacing w:line="20" w:lineRule="exact"/>
        <w:ind w:left="1671"/>
        <w:rPr>
          <w:sz w:val="2"/>
        </w:rPr>
      </w:pPr>
      <w:r>
        <w:rPr>
          <w:sz w:val="2"/>
        </w:rPr>
        <w:pict>
          <v:group style="width:428.25pt;height:.75pt;mso-position-horizontal-relative:char;mso-position-vertical-relative:line" coordorigin="0,0" coordsize="8565,15">
            <v:rect style="position:absolute;left:0;top:0;width:8565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Title"/>
        <w:spacing w:before="233"/>
      </w:pPr>
      <w:bookmarkStart w:name="Electronic Lodgement of Redline Document" w:id="2"/>
      <w:bookmarkEnd w:id="2"/>
      <w:r>
        <w:rPr>
          <w:b w:val="0"/>
        </w:rPr>
      </w:r>
      <w:r>
        <w:rPr/>
        <w:t>Electronic Lodgement of Redline Documents</w:t>
      </w:r>
    </w:p>
    <w:p>
      <w:pPr>
        <w:pStyle w:val="BodyText"/>
        <w:spacing w:before="1"/>
        <w:rPr>
          <w:b/>
          <w:sz w:val="25"/>
        </w:rPr>
      </w:pPr>
    </w:p>
    <w:p>
      <w:pPr>
        <w:pStyle w:val="BodyText"/>
        <w:ind w:left="1701" w:right="1785"/>
      </w:pPr>
      <w:r>
        <w:rPr/>
        <w:t>Industry clients are required to lodge supporting documentation when ‘Entries / Import Declarations’ become ‘redline’. At present, the lodgement of documents is predominantly a manual process ie. original documents are physically submitted to the ‘Lodgements’ area in each region. There may also exist the option of lodging documents to a dedicated fax machine, where agreement has been reached with the relevant regional Customs office.</w:t>
      </w:r>
    </w:p>
    <w:p>
      <w:pPr>
        <w:pStyle w:val="BodyText"/>
      </w:pPr>
    </w:p>
    <w:p>
      <w:pPr>
        <w:pStyle w:val="BodyText"/>
        <w:ind w:left="1701" w:right="1874"/>
      </w:pPr>
      <w:r>
        <w:rPr/>
        <w:t>To simplify and harmonise customs procedures, Customs wishes to advise of an additional option to facilitate the lodgement of ‘redline’ documents. This new option will be available from </w:t>
      </w:r>
      <w:r>
        <w:rPr>
          <w:b/>
        </w:rPr>
        <w:t>Monday, 28 November 2005</w:t>
      </w:r>
      <w:r>
        <w:rPr/>
        <w:t>.</w:t>
      </w:r>
    </w:p>
    <w:p>
      <w:pPr>
        <w:pStyle w:val="BodyText"/>
      </w:pPr>
    </w:p>
    <w:p>
      <w:pPr>
        <w:pStyle w:val="Heading1"/>
        <w:spacing w:before="0"/>
        <w:rPr>
          <w:u w:val="none"/>
        </w:rPr>
      </w:pPr>
      <w:r>
        <w:rPr>
          <w:u w:val="none"/>
        </w:rPr>
        <w:t>New Option:</w:t>
      </w:r>
    </w:p>
    <w:p>
      <w:pPr>
        <w:pStyle w:val="BodyText"/>
        <w:rPr>
          <w:b/>
        </w:rPr>
      </w:pPr>
    </w:p>
    <w:p>
      <w:pPr>
        <w:pStyle w:val="BodyText"/>
        <w:ind w:left="1701" w:right="1830"/>
      </w:pPr>
      <w:r>
        <w:rPr/>
        <w:t>Where clients are required to submit ‘Redline’ documents, they may email them to the relevant dedicated mailboxes as listed below:</w:t>
      </w:r>
    </w:p>
    <w:p>
      <w:pPr>
        <w:pStyle w:val="BodyText"/>
      </w:pPr>
    </w:p>
    <w:p>
      <w:pPr>
        <w:pStyle w:val="Heading1"/>
        <w:spacing w:before="0"/>
        <w:rPr>
          <w:u w:val="none"/>
        </w:rPr>
      </w:pPr>
      <w:hyperlink r:id="rId6">
        <w:r>
          <w:rPr>
            <w:color w:val="0000FF"/>
            <w:u w:val="thick" w:color="0000FF"/>
          </w:rPr>
          <w:t>RedlineNSW@customs.gov.au</w:t>
        </w:r>
      </w:hyperlink>
    </w:p>
    <w:p>
      <w:pPr>
        <w:pStyle w:val="BodyText"/>
        <w:spacing w:before="10"/>
        <w:rPr>
          <w:b/>
          <w:sz w:val="11"/>
        </w:rPr>
      </w:pPr>
    </w:p>
    <w:p>
      <w:pPr>
        <w:spacing w:before="94"/>
        <w:ind w:left="1701" w:right="0" w:firstLine="0"/>
        <w:jc w:val="left"/>
        <w:rPr>
          <w:b/>
          <w:sz w:val="20"/>
        </w:rPr>
      </w:pPr>
      <w:hyperlink r:id="rId7">
        <w:r>
          <w:rPr>
            <w:b/>
            <w:color w:val="0000FF"/>
            <w:sz w:val="20"/>
            <w:u w:val="thick" w:color="0000FF"/>
          </w:rPr>
          <w:t>RedlineVic@customs.gov.au</w:t>
        </w:r>
      </w:hyperlink>
    </w:p>
    <w:p>
      <w:pPr>
        <w:pStyle w:val="BodyText"/>
        <w:spacing w:before="10"/>
        <w:rPr>
          <w:b/>
          <w:sz w:val="11"/>
        </w:rPr>
      </w:pPr>
    </w:p>
    <w:p>
      <w:pPr>
        <w:pStyle w:val="Heading1"/>
        <w:rPr>
          <w:u w:val="none"/>
        </w:rPr>
      </w:pPr>
      <w:hyperlink r:id="rId8">
        <w:r>
          <w:rPr>
            <w:color w:val="0000FF"/>
            <w:u w:val="thick" w:color="0000FF"/>
          </w:rPr>
          <w:t>RedlineSA@customs.gov.au</w:t>
        </w:r>
      </w:hyperlink>
    </w:p>
    <w:p>
      <w:pPr>
        <w:pStyle w:val="BodyText"/>
        <w:spacing w:before="9"/>
        <w:rPr>
          <w:b/>
          <w:sz w:val="11"/>
        </w:rPr>
      </w:pPr>
    </w:p>
    <w:p>
      <w:pPr>
        <w:spacing w:before="94"/>
        <w:ind w:left="1701" w:right="0" w:firstLine="0"/>
        <w:jc w:val="left"/>
        <w:rPr>
          <w:b/>
          <w:sz w:val="20"/>
        </w:rPr>
      </w:pPr>
      <w:hyperlink r:id="rId9">
        <w:r>
          <w:rPr>
            <w:b/>
            <w:color w:val="0000FF"/>
            <w:sz w:val="20"/>
            <w:u w:val="thick" w:color="0000FF"/>
          </w:rPr>
          <w:t>RedlineQLD@customs.gov.au</w:t>
        </w:r>
      </w:hyperlink>
    </w:p>
    <w:p>
      <w:pPr>
        <w:pStyle w:val="BodyText"/>
        <w:spacing w:before="10"/>
        <w:rPr>
          <w:b/>
          <w:sz w:val="11"/>
        </w:rPr>
      </w:pPr>
    </w:p>
    <w:p>
      <w:pPr>
        <w:pStyle w:val="Heading1"/>
        <w:rPr>
          <w:u w:val="none"/>
        </w:rPr>
      </w:pPr>
      <w:hyperlink r:id="rId10">
        <w:r>
          <w:rPr>
            <w:color w:val="0000FF"/>
            <w:u w:val="thick" w:color="0000FF"/>
          </w:rPr>
          <w:t>RedlineWA@customs.gov.au</w:t>
        </w:r>
      </w:hyperlink>
    </w:p>
    <w:p>
      <w:pPr>
        <w:pStyle w:val="BodyText"/>
        <w:spacing w:before="9"/>
        <w:rPr>
          <w:b/>
          <w:sz w:val="11"/>
        </w:rPr>
      </w:pPr>
    </w:p>
    <w:p>
      <w:pPr>
        <w:spacing w:before="94"/>
        <w:ind w:left="1701" w:right="0" w:firstLine="0"/>
        <w:jc w:val="left"/>
        <w:rPr>
          <w:b/>
          <w:sz w:val="20"/>
        </w:rPr>
      </w:pPr>
      <w:hyperlink r:id="rId11">
        <w:r>
          <w:rPr>
            <w:b/>
            <w:color w:val="0000FF"/>
            <w:sz w:val="20"/>
            <w:u w:val="thick" w:color="0000FF"/>
          </w:rPr>
          <w:t>RedlineNT@customs.gov.au</w:t>
        </w:r>
      </w:hyperlink>
    </w:p>
    <w:p>
      <w:pPr>
        <w:pStyle w:val="BodyText"/>
        <w:spacing w:before="9"/>
        <w:rPr>
          <w:b/>
          <w:sz w:val="11"/>
        </w:rPr>
      </w:pPr>
    </w:p>
    <w:p>
      <w:pPr>
        <w:pStyle w:val="Heading1"/>
        <w:rPr>
          <w:u w:val="none"/>
        </w:rPr>
      </w:pPr>
      <w:hyperlink r:id="rId12">
        <w:r>
          <w:rPr>
            <w:color w:val="0000FF"/>
            <w:u w:val="thick" w:color="0000FF"/>
          </w:rPr>
          <w:t>RedlineTas@customs.gov.au</w:t>
        </w:r>
      </w:hyperlink>
    </w:p>
    <w:p>
      <w:pPr>
        <w:pStyle w:val="BodyText"/>
        <w:rPr>
          <w:b/>
        </w:rPr>
      </w:pP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spacing w:before="1"/>
        <w:ind w:left="1701"/>
        <w:rPr>
          <w:b/>
        </w:rPr>
      </w:pPr>
      <w:r>
        <w:rPr/>
        <w:t>Clients wishing to use this facility should adhere to the following requirements</w:t>
      </w:r>
      <w:r>
        <w:rPr>
          <w:b/>
        </w:rPr>
        <w:t>: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2421" w:val="left" w:leader="none"/>
          <w:tab w:pos="2422" w:val="left" w:leader="none"/>
        </w:tabs>
        <w:spacing w:line="240" w:lineRule="auto" w:before="0" w:after="0"/>
        <w:ind w:left="2421" w:right="1962" w:hanging="360"/>
        <w:jc w:val="left"/>
        <w:rPr>
          <w:sz w:val="20"/>
        </w:rPr>
      </w:pPr>
      <w:r>
        <w:rPr>
          <w:sz w:val="20"/>
        </w:rPr>
        <w:t>Each email should only relate to one ‘Import Declaration’. Accordingly, the ‘Import Declaration’ number </w:t>
      </w:r>
      <w:r>
        <w:rPr>
          <w:b/>
          <w:sz w:val="20"/>
        </w:rPr>
        <w:t>must </w:t>
      </w:r>
      <w:r>
        <w:rPr>
          <w:sz w:val="20"/>
        </w:rPr>
        <w:t>be clearly listed in the subject heading. Clients will receive an automated reply acknowledging receipt of their</w:t>
      </w:r>
      <w:r>
        <w:rPr>
          <w:spacing w:val="-13"/>
          <w:sz w:val="20"/>
        </w:rPr>
        <w:t> </w:t>
      </w:r>
      <w:r>
        <w:rPr>
          <w:sz w:val="20"/>
        </w:rPr>
        <w:t>email.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2421" w:val="left" w:leader="none"/>
          <w:tab w:pos="2422" w:val="left" w:leader="none"/>
        </w:tabs>
        <w:spacing w:line="240" w:lineRule="auto" w:before="0" w:after="0"/>
        <w:ind w:left="2421" w:right="1906" w:hanging="360"/>
        <w:jc w:val="left"/>
        <w:rPr>
          <w:sz w:val="20"/>
        </w:rPr>
      </w:pPr>
      <w:r>
        <w:rPr>
          <w:b/>
          <w:sz w:val="20"/>
        </w:rPr>
        <w:t>All attachments must be zipped</w:t>
      </w:r>
      <w:r>
        <w:rPr>
          <w:sz w:val="20"/>
        </w:rPr>
        <w:t>. Customs’ email system will not accept emails exceeding </w:t>
      </w:r>
      <w:r>
        <w:rPr>
          <w:b/>
          <w:sz w:val="20"/>
        </w:rPr>
        <w:t>10MB</w:t>
      </w:r>
      <w:r>
        <w:rPr>
          <w:sz w:val="20"/>
        </w:rPr>
        <w:t>. Where the relevant documents may exceed this limit, clients should send the documents via separate</w:t>
      </w:r>
      <w:r>
        <w:rPr>
          <w:spacing w:val="-7"/>
          <w:sz w:val="20"/>
        </w:rPr>
        <w:t> </w:t>
      </w:r>
      <w:r>
        <w:rPr>
          <w:sz w:val="20"/>
        </w:rPr>
        <w:t>emails.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2421" w:val="left" w:leader="none"/>
          <w:tab w:pos="2422" w:val="left" w:leader="none"/>
        </w:tabs>
        <w:spacing w:line="240" w:lineRule="auto" w:before="0" w:after="0"/>
        <w:ind w:left="2421" w:right="0" w:hanging="361"/>
        <w:jc w:val="left"/>
        <w:rPr>
          <w:sz w:val="20"/>
        </w:rPr>
      </w:pPr>
      <w:r>
        <w:rPr>
          <w:sz w:val="20"/>
        </w:rPr>
        <w:t>In such instances, please label the emails in the following</w:t>
      </w:r>
      <w:r>
        <w:rPr>
          <w:spacing w:val="-16"/>
          <w:sz w:val="20"/>
        </w:rPr>
        <w:t> </w:t>
      </w:r>
      <w:r>
        <w:rPr>
          <w:sz w:val="20"/>
        </w:rPr>
        <w:t>format:</w:t>
      </w:r>
    </w:p>
    <w:p>
      <w:pPr>
        <w:pStyle w:val="Heading1"/>
        <w:spacing w:before="1"/>
        <w:ind w:left="2421"/>
        <w:rPr>
          <w:b w:val="0"/>
          <w:u w:val="none"/>
        </w:rPr>
      </w:pPr>
      <w:r>
        <w:rPr>
          <w:u w:val="none"/>
        </w:rPr>
        <w:t>‘Import Declaration Number’ – Company Name – Part I of 2 / Part 2 of 2, </w:t>
      </w:r>
      <w:r>
        <w:rPr>
          <w:b w:val="0"/>
          <w:u w:val="none"/>
        </w:rPr>
        <w:t>etc.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2421" w:val="left" w:leader="none"/>
          <w:tab w:pos="2422" w:val="left" w:leader="none"/>
        </w:tabs>
        <w:spacing w:line="240" w:lineRule="auto" w:before="0" w:after="0"/>
        <w:ind w:left="2421" w:right="0" w:hanging="361"/>
        <w:jc w:val="left"/>
        <w:rPr>
          <w:sz w:val="20"/>
        </w:rPr>
      </w:pPr>
      <w:r>
        <w:rPr>
          <w:sz w:val="20"/>
        </w:rPr>
        <w:t>All documents should be presented in one of the following</w:t>
      </w:r>
      <w:r>
        <w:rPr>
          <w:spacing w:val="-16"/>
          <w:sz w:val="20"/>
        </w:rPr>
        <w:t> </w:t>
      </w:r>
      <w:r>
        <w:rPr>
          <w:sz w:val="20"/>
        </w:rPr>
        <w:t>formats:</w:t>
      </w:r>
    </w:p>
    <w:p>
      <w:pPr>
        <w:pStyle w:val="ListParagraph"/>
        <w:numPr>
          <w:ilvl w:val="1"/>
          <w:numId w:val="1"/>
        </w:numPr>
        <w:tabs>
          <w:tab w:pos="3403" w:val="left" w:leader="none"/>
          <w:tab w:pos="3404" w:val="left" w:leader="none"/>
        </w:tabs>
        <w:spacing w:line="240" w:lineRule="auto" w:before="190" w:after="0"/>
        <w:ind w:left="3403" w:right="0" w:hanging="427"/>
        <w:jc w:val="left"/>
        <w:rPr>
          <w:sz w:val="20"/>
        </w:rPr>
      </w:pPr>
      <w:r>
        <w:rPr>
          <w:sz w:val="20"/>
        </w:rPr>
        <w:t>Microsoft</w:t>
      </w:r>
      <w:r>
        <w:rPr>
          <w:spacing w:val="-13"/>
          <w:sz w:val="20"/>
        </w:rPr>
        <w:t> </w:t>
      </w:r>
      <w:r>
        <w:rPr>
          <w:sz w:val="20"/>
        </w:rPr>
        <w:t>Word,</w:t>
      </w:r>
    </w:p>
    <w:p>
      <w:pPr>
        <w:pStyle w:val="ListParagraph"/>
        <w:numPr>
          <w:ilvl w:val="1"/>
          <w:numId w:val="1"/>
        </w:numPr>
        <w:tabs>
          <w:tab w:pos="3403" w:val="left" w:leader="none"/>
          <w:tab w:pos="3404" w:val="left" w:leader="none"/>
        </w:tabs>
        <w:spacing w:line="240" w:lineRule="auto" w:before="190" w:after="0"/>
        <w:ind w:left="3403" w:right="0" w:hanging="427"/>
        <w:jc w:val="left"/>
        <w:rPr>
          <w:sz w:val="20"/>
        </w:rPr>
      </w:pPr>
      <w:r>
        <w:rPr>
          <w:sz w:val="20"/>
        </w:rPr>
        <w:t>Microsoft</w:t>
      </w:r>
      <w:r>
        <w:rPr>
          <w:spacing w:val="-13"/>
          <w:sz w:val="20"/>
        </w:rPr>
        <w:t> </w:t>
      </w:r>
      <w:r>
        <w:rPr>
          <w:sz w:val="20"/>
        </w:rPr>
        <w:t>Excel,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5556503</wp:posOffset>
            </wp:positionH>
            <wp:positionV relativeFrom="paragraph">
              <wp:posOffset>166786</wp:posOffset>
            </wp:positionV>
            <wp:extent cx="1605144" cy="11620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144" cy="116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type w:val="continuous"/>
          <w:pgSz w:w="11900" w:h="16840"/>
          <w:pgMar w:top="860" w:bottom="280" w:left="0" w:right="0"/>
        </w:sectPr>
      </w:pPr>
    </w:p>
    <w:p>
      <w:pPr>
        <w:pStyle w:val="ListParagraph"/>
        <w:numPr>
          <w:ilvl w:val="1"/>
          <w:numId w:val="1"/>
        </w:numPr>
        <w:tabs>
          <w:tab w:pos="3402" w:val="left" w:leader="none"/>
          <w:tab w:pos="3403" w:val="left" w:leader="none"/>
        </w:tabs>
        <w:spacing w:line="240" w:lineRule="auto" w:before="67" w:after="0"/>
        <w:ind w:left="3402" w:right="0" w:hanging="426"/>
        <w:jc w:val="left"/>
        <w:rPr>
          <w:sz w:val="20"/>
        </w:rPr>
      </w:pPr>
      <w:r>
        <w:rPr>
          <w:sz w:val="20"/>
        </w:rPr>
        <w:t>HTML,</w:t>
      </w:r>
    </w:p>
    <w:p>
      <w:pPr>
        <w:pStyle w:val="ListParagraph"/>
        <w:numPr>
          <w:ilvl w:val="1"/>
          <w:numId w:val="1"/>
        </w:numPr>
        <w:tabs>
          <w:tab w:pos="3403" w:val="left" w:leader="none"/>
          <w:tab w:pos="3404" w:val="left" w:leader="none"/>
        </w:tabs>
        <w:spacing w:line="240" w:lineRule="auto" w:before="190" w:after="0"/>
        <w:ind w:left="3403" w:right="0" w:hanging="427"/>
        <w:jc w:val="left"/>
        <w:rPr>
          <w:sz w:val="20"/>
        </w:rPr>
      </w:pPr>
      <w:r>
        <w:rPr>
          <w:sz w:val="20"/>
        </w:rPr>
        <w:t>PDF,</w:t>
      </w:r>
    </w:p>
    <w:p>
      <w:pPr>
        <w:pStyle w:val="ListParagraph"/>
        <w:numPr>
          <w:ilvl w:val="1"/>
          <w:numId w:val="1"/>
        </w:numPr>
        <w:tabs>
          <w:tab w:pos="3403" w:val="left" w:leader="none"/>
          <w:tab w:pos="3404" w:val="left" w:leader="none"/>
        </w:tabs>
        <w:spacing w:line="240" w:lineRule="auto" w:before="190" w:after="0"/>
        <w:ind w:left="3403" w:right="0" w:hanging="427"/>
        <w:jc w:val="left"/>
        <w:rPr>
          <w:sz w:val="20"/>
        </w:rPr>
      </w:pPr>
      <w:r>
        <w:rPr>
          <w:sz w:val="20"/>
        </w:rPr>
        <w:t>Plain Text,</w:t>
      </w:r>
      <w:r>
        <w:rPr>
          <w:spacing w:val="-3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1"/>
          <w:numId w:val="1"/>
        </w:numPr>
        <w:tabs>
          <w:tab w:pos="3402" w:val="left" w:leader="none"/>
          <w:tab w:pos="3403" w:val="left" w:leader="none"/>
        </w:tabs>
        <w:spacing w:line="240" w:lineRule="auto" w:before="190" w:after="0"/>
        <w:ind w:left="3402" w:right="0" w:hanging="426"/>
        <w:jc w:val="left"/>
        <w:rPr>
          <w:sz w:val="20"/>
        </w:rPr>
      </w:pPr>
      <w:r>
        <w:rPr>
          <w:sz w:val="20"/>
        </w:rPr>
        <w:t>JPEG</w:t>
      </w:r>
    </w:p>
    <w:p>
      <w:pPr>
        <w:pStyle w:val="BodyText"/>
      </w:pPr>
    </w:p>
    <w:p>
      <w:pPr>
        <w:pStyle w:val="BodyText"/>
        <w:rPr>
          <w:sz w:val="24"/>
        </w:rPr>
      </w:pPr>
    </w:p>
    <w:p>
      <w:pPr>
        <w:pStyle w:val="Heading1"/>
        <w:rPr>
          <w:b w:val="0"/>
          <w:u w:val="none"/>
        </w:rPr>
      </w:pPr>
      <w:r>
        <w:rPr>
          <w:u w:val="thick"/>
        </w:rPr>
        <w:t>Please Note</w:t>
      </w:r>
      <w:r>
        <w:rPr>
          <w:b w:val="0"/>
          <w:u w:val="none"/>
        </w:rPr>
        <w:t>: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2422" w:val="left" w:leader="none"/>
        </w:tabs>
        <w:spacing w:line="240" w:lineRule="auto" w:before="0" w:after="0"/>
        <w:ind w:left="2421" w:right="1708" w:hanging="360"/>
        <w:jc w:val="both"/>
        <w:rPr>
          <w:sz w:val="20"/>
        </w:rPr>
      </w:pP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new</w:t>
      </w:r>
      <w:r>
        <w:rPr>
          <w:spacing w:val="-3"/>
          <w:sz w:val="20"/>
        </w:rPr>
        <w:t> </w:t>
      </w:r>
      <w:r>
        <w:rPr>
          <w:sz w:val="20"/>
        </w:rPr>
        <w:t>option</w:t>
      </w:r>
      <w:r>
        <w:rPr>
          <w:spacing w:val="-3"/>
          <w:sz w:val="20"/>
        </w:rPr>
        <w:t> </w:t>
      </w:r>
      <w:r>
        <w:rPr>
          <w:sz w:val="20"/>
        </w:rPr>
        <w:t>relates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ICS</w:t>
      </w:r>
      <w:r>
        <w:rPr>
          <w:spacing w:val="-3"/>
          <w:sz w:val="20"/>
        </w:rPr>
        <w:t> </w:t>
      </w:r>
      <w:r>
        <w:rPr>
          <w:sz w:val="20"/>
        </w:rPr>
        <w:t>environment</w:t>
      </w:r>
      <w:r>
        <w:rPr>
          <w:spacing w:val="-3"/>
          <w:sz w:val="20"/>
        </w:rPr>
        <w:t> </w:t>
      </w:r>
      <w:r>
        <w:rPr>
          <w:sz w:val="20"/>
        </w:rPr>
        <w:t>only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therefore,</w:t>
      </w:r>
      <w:r>
        <w:rPr>
          <w:spacing w:val="-4"/>
          <w:sz w:val="20"/>
        </w:rPr>
        <w:t> </w:t>
      </w:r>
      <w:r>
        <w:rPr>
          <w:sz w:val="20"/>
        </w:rPr>
        <w:t>excludes</w:t>
      </w:r>
      <w:r>
        <w:rPr>
          <w:spacing w:val="-3"/>
          <w:sz w:val="20"/>
        </w:rPr>
        <w:t> </w:t>
      </w:r>
      <w:r>
        <w:rPr>
          <w:sz w:val="20"/>
        </w:rPr>
        <w:t>all</w:t>
      </w:r>
      <w:r>
        <w:rPr>
          <w:spacing w:val="-3"/>
          <w:sz w:val="20"/>
        </w:rPr>
        <w:t> </w:t>
      </w:r>
      <w:r>
        <w:rPr>
          <w:sz w:val="20"/>
        </w:rPr>
        <w:t>‘Legacy’ issues.</w:t>
      </w:r>
    </w:p>
    <w:p>
      <w:pPr>
        <w:pStyle w:val="ListParagraph"/>
        <w:numPr>
          <w:ilvl w:val="0"/>
          <w:numId w:val="2"/>
        </w:numPr>
        <w:tabs>
          <w:tab w:pos="2422" w:val="left" w:leader="none"/>
        </w:tabs>
        <w:spacing w:line="240" w:lineRule="auto" w:before="0" w:after="0"/>
        <w:ind w:left="2421" w:right="2252" w:hanging="360"/>
        <w:jc w:val="both"/>
        <w:rPr>
          <w:sz w:val="20"/>
        </w:rPr>
      </w:pPr>
      <w:r>
        <w:rPr>
          <w:sz w:val="20"/>
        </w:rPr>
        <w:t>Current procedures for lodging ‘redline’ documents will continue to operate</w:t>
      </w:r>
      <w:r>
        <w:rPr>
          <w:spacing w:val="-23"/>
          <w:sz w:val="20"/>
        </w:rPr>
        <w:t> </w:t>
      </w:r>
      <w:r>
        <w:rPr>
          <w:sz w:val="20"/>
        </w:rPr>
        <w:t>unless advised</w:t>
      </w:r>
      <w:r>
        <w:rPr>
          <w:spacing w:val="-5"/>
          <w:sz w:val="20"/>
        </w:rPr>
        <w:t> </w:t>
      </w:r>
      <w:r>
        <w:rPr>
          <w:sz w:val="20"/>
        </w:rPr>
        <w:t>otherwise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your</w:t>
      </w:r>
      <w:r>
        <w:rPr>
          <w:spacing w:val="-5"/>
          <w:sz w:val="20"/>
        </w:rPr>
        <w:t> </w:t>
      </w:r>
      <w:r>
        <w:rPr>
          <w:sz w:val="20"/>
        </w:rPr>
        <w:t>regional</w:t>
      </w:r>
      <w:r>
        <w:rPr>
          <w:spacing w:val="-5"/>
          <w:sz w:val="20"/>
        </w:rPr>
        <w:t> </w:t>
      </w:r>
      <w:r>
        <w:rPr>
          <w:sz w:val="20"/>
        </w:rPr>
        <w:t>Customs</w:t>
      </w:r>
      <w:r>
        <w:rPr>
          <w:spacing w:val="-5"/>
          <w:sz w:val="20"/>
        </w:rPr>
        <w:t> </w:t>
      </w:r>
      <w:r>
        <w:rPr>
          <w:sz w:val="20"/>
        </w:rPr>
        <w:t>office.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new</w:t>
      </w:r>
      <w:r>
        <w:rPr>
          <w:spacing w:val="-5"/>
          <w:sz w:val="20"/>
        </w:rPr>
        <w:t> </w:t>
      </w:r>
      <w:r>
        <w:rPr>
          <w:sz w:val="20"/>
        </w:rPr>
        <w:t>option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designed</w:t>
      </w:r>
      <w:r>
        <w:rPr>
          <w:spacing w:val="-6"/>
          <w:sz w:val="20"/>
        </w:rPr>
        <w:t> </w:t>
      </w:r>
      <w:r>
        <w:rPr>
          <w:sz w:val="20"/>
        </w:rPr>
        <w:t>to complement existing</w:t>
      </w:r>
      <w:r>
        <w:rPr>
          <w:spacing w:val="-3"/>
          <w:sz w:val="20"/>
        </w:rPr>
        <w:t> </w:t>
      </w:r>
      <w:r>
        <w:rPr>
          <w:sz w:val="20"/>
        </w:rPr>
        <w:t>arrangements.</w:t>
      </w:r>
    </w:p>
    <w:p>
      <w:pPr>
        <w:pStyle w:val="ListParagraph"/>
        <w:numPr>
          <w:ilvl w:val="0"/>
          <w:numId w:val="2"/>
        </w:numPr>
        <w:tabs>
          <w:tab w:pos="2421" w:val="left" w:leader="none"/>
          <w:tab w:pos="2422" w:val="left" w:leader="none"/>
        </w:tabs>
        <w:spacing w:line="240" w:lineRule="auto" w:before="0" w:after="0"/>
        <w:ind w:left="2421" w:right="1749" w:hanging="360"/>
        <w:jc w:val="left"/>
        <w:rPr>
          <w:sz w:val="20"/>
        </w:rPr>
      </w:pPr>
      <w:r>
        <w:rPr>
          <w:sz w:val="20"/>
        </w:rPr>
        <w:t>Customs will continue to request the manual lodgement of documents, when necessary (eg. Original</w:t>
      </w:r>
      <w:r>
        <w:rPr>
          <w:spacing w:val="-4"/>
          <w:sz w:val="20"/>
        </w:rPr>
        <w:t> </w:t>
      </w:r>
      <w:r>
        <w:rPr>
          <w:sz w:val="20"/>
        </w:rPr>
        <w:t>permits/certificates).</w:t>
      </w:r>
    </w:p>
    <w:p>
      <w:pPr>
        <w:pStyle w:val="ListParagraph"/>
        <w:numPr>
          <w:ilvl w:val="0"/>
          <w:numId w:val="2"/>
        </w:numPr>
        <w:tabs>
          <w:tab w:pos="2421" w:val="left" w:leader="none"/>
          <w:tab w:pos="2422" w:val="left" w:leader="none"/>
        </w:tabs>
        <w:spacing w:line="240" w:lineRule="auto" w:before="0" w:after="0"/>
        <w:ind w:left="2421" w:right="2228" w:hanging="360"/>
        <w:jc w:val="left"/>
        <w:rPr>
          <w:sz w:val="20"/>
        </w:rPr>
      </w:pPr>
      <w:r>
        <w:rPr>
          <w:sz w:val="20"/>
        </w:rPr>
        <w:t>Clients will also have to abide by the legislative requirements governing document retention.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8"/>
        </w:rPr>
      </w:pPr>
    </w:p>
    <w:p>
      <w:pPr>
        <w:pStyle w:val="BodyText"/>
        <w:ind w:left="1701" w:right="1785"/>
      </w:pPr>
      <w:r>
        <w:rPr/>
        <w:t>Inquiries concerning this notice may be directed to (Manager, Compliance Branch) on telephone number (02) 6275 6458 or fax number (02) 6275 6227.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6"/>
        </w:rPr>
      </w:pPr>
    </w:p>
    <w:p>
      <w:pPr>
        <w:pStyle w:val="BodyText"/>
        <w:ind w:left="1701" w:right="8395"/>
      </w:pPr>
      <w:r>
        <w:rPr/>
        <w:t>Jeff Buckpitt National Manager Compliance </w:t>
      </w:r>
      <w:r>
        <w:rPr>
          <w:spacing w:val="-3"/>
        </w:rPr>
        <w:t>Branch </w:t>
      </w:r>
      <w:r>
        <w:rPr/>
        <w:t>Canberra</w:t>
      </w:r>
      <w:r>
        <w:rPr>
          <w:spacing w:val="52"/>
        </w:rPr>
        <w:t> </w:t>
      </w:r>
      <w:r>
        <w:rPr/>
        <w:t>ACT.</w:t>
      </w:r>
    </w:p>
    <w:p>
      <w:pPr>
        <w:pStyle w:val="BodyText"/>
        <w:spacing w:before="121"/>
        <w:ind w:left="1701"/>
      </w:pPr>
      <w:r>
        <w:rPr/>
        <w:t>October 2005</w:t>
      </w:r>
    </w:p>
    <w:sectPr>
      <w:pgSz w:w="11900" w:h="16840"/>
      <w:pgMar w:top="14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■"/>
      <w:lvlJc w:val="left"/>
      <w:pPr>
        <w:ind w:left="2421" w:hanging="361"/>
      </w:pPr>
      <w:rPr>
        <w:rFonts w:hint="default" w:ascii="Arial" w:hAnsi="Arial" w:eastAsia="Arial" w:cs="Arial"/>
        <w:w w:val="75"/>
        <w:sz w:val="20"/>
        <w:szCs w:val="20"/>
      </w:rPr>
    </w:lvl>
    <w:lvl w:ilvl="1">
      <w:start w:val="0"/>
      <w:numFmt w:val="bullet"/>
      <w:lvlText w:val="•"/>
      <w:lvlJc w:val="left"/>
      <w:pPr>
        <w:ind w:left="3368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16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264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212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60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108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056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004" w:hanging="361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421" w:hanging="361"/>
      </w:pPr>
      <w:rPr>
        <w:rFonts w:hint="default" w:ascii="Arial" w:hAnsi="Arial" w:eastAsia="Arial" w:cs="Arial"/>
        <w:w w:val="131"/>
        <w:sz w:val="20"/>
        <w:szCs w:val="20"/>
      </w:rPr>
    </w:lvl>
    <w:lvl w:ilvl="1">
      <w:start w:val="1"/>
      <w:numFmt w:val="lowerLetter"/>
      <w:lvlText w:val="%2)"/>
      <w:lvlJc w:val="left"/>
      <w:pPr>
        <w:ind w:left="3403" w:hanging="427"/>
        <w:jc w:val="left"/>
      </w:pPr>
      <w:rPr>
        <w:rFonts w:hint="default" w:ascii="Arial" w:hAnsi="Arial" w:eastAsia="Arial" w:cs="Arial"/>
        <w:spacing w:val="-1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4344" w:hanging="4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288" w:hanging="4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233" w:hanging="4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77" w:hanging="4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122" w:hanging="4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066" w:hanging="4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011" w:hanging="427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94"/>
      <w:ind w:left="1701"/>
      <w:outlineLvl w:val="1"/>
    </w:pPr>
    <w:rPr>
      <w:rFonts w:ascii="Arial" w:hAnsi="Arial" w:eastAsia="Arial" w:cs="Arial"/>
      <w:b/>
      <w:bCs/>
      <w:sz w:val="20"/>
      <w:szCs w:val="20"/>
      <w:u w:val="single" w:color="000000"/>
    </w:rPr>
  </w:style>
  <w:style w:styleId="Title" w:type="paragraph">
    <w:name w:val="Title"/>
    <w:basedOn w:val="Normal"/>
    <w:uiPriority w:val="1"/>
    <w:qFormat/>
    <w:pPr>
      <w:spacing w:before="232"/>
      <w:ind w:left="2883" w:right="2876"/>
      <w:jc w:val="center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ind w:left="2421" w:hanging="36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RedlineNSW@customs.gov.au" TargetMode="External"/><Relationship Id="rId7" Type="http://schemas.openxmlformats.org/officeDocument/2006/relationships/hyperlink" Target="mailto:RedlineVic@customs.gov.au" TargetMode="External"/><Relationship Id="rId8" Type="http://schemas.openxmlformats.org/officeDocument/2006/relationships/hyperlink" Target="mailto:RedlineSA@customs.gov.au" TargetMode="External"/><Relationship Id="rId9" Type="http://schemas.openxmlformats.org/officeDocument/2006/relationships/hyperlink" Target="mailto:RedlineQLD@customs.gov.au" TargetMode="External"/><Relationship Id="rId10" Type="http://schemas.openxmlformats.org/officeDocument/2006/relationships/hyperlink" Target="mailto:RedlineWA@customs.gov.au" TargetMode="External"/><Relationship Id="rId11" Type="http://schemas.openxmlformats.org/officeDocument/2006/relationships/hyperlink" Target="mailto:RedlineNT@customs.gov.au" TargetMode="External"/><Relationship Id="rId12" Type="http://schemas.openxmlformats.org/officeDocument/2006/relationships/hyperlink" Target="mailto:RedlineTasmania@customs.gov.au" TargetMode="External"/><Relationship Id="rId13" Type="http://schemas.openxmlformats.org/officeDocument/2006/relationships/image" Target="media/image2.pn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Electronic lodgement of redline documents</dc:subject>
  <dc:title>Australian Customs Notice 2005/60</dc:title>
  <dcterms:created xsi:type="dcterms:W3CDTF">2020-12-09T22:20:41Z</dcterms:created>
  <dcterms:modified xsi:type="dcterms:W3CDTF">2020-12-09T22:20:41Z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2005-10-21T00:00:00Z</vt:filetime>
  </property>
  <property fmtid="{D5CDD505-2E9C-101B-9397-08002B2CF9AE}" pid="3" name="Creator">
    <vt:lpwstr>Acrobat PDFMaker 6.0 for Word</vt:lpwstr>
  </property>
  <property fmtid="{D5CDD505-2E9C-101B-9397-08002B2CF9AE}" pid="4" name="LastSaved">
    <vt:filetime>2020-12-09T00:00:00Z</vt:filetime>
  </property>
</Properties>
</file>