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 " w:id="1"/>
      <w:bookmarkEnd w:id="1"/>
      <w:r>
        <w:rPr>
          <w:b w:val="0"/>
        </w:rPr>
      </w:r>
      <w:bookmarkStart w:name="AUSTRALIAN CUSTOMS NOTICE NO. 2006/06 " w:id="2"/>
      <w:bookmarkEnd w:id="2"/>
      <w:r>
        <w:rPr>
          <w:b w:val="0"/>
        </w:rPr>
      </w:r>
      <w:r>
        <w:rPr/>
        <w:t>AUSTRALIAN CUSTOMS NOTICE NO. 2006/06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046" w:right="0" w:firstLine="0"/>
        <w:jc w:val="left"/>
        <w:rPr>
          <w:sz w:val="28"/>
        </w:rPr>
      </w:pPr>
      <w:bookmarkStart w:name="Free Trade Agreements: Information on Cu" w:id="3"/>
      <w:bookmarkEnd w:id="3"/>
      <w:r>
        <w:rPr/>
      </w:r>
      <w:r>
        <w:rPr>
          <w:sz w:val="28"/>
        </w:rPr>
        <w:t>Free Trade Agreements: Information on Customs requirements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1701" w:right="1891"/>
      </w:pPr>
      <w:r>
        <w:rPr/>
        <w:t>Australia has entered into a number of Free Trade Agreements (FTAs) with trading partners and introduced a range of trade initiatives. To ensure that Customs clients have adequate information relating to the Customs aspects of these FTAs and initiatives, the </w:t>
      </w:r>
      <w:r>
        <w:rPr>
          <w:i/>
        </w:rPr>
        <w:t>Rules of Origin </w:t>
      </w:r>
      <w:r>
        <w:rPr/>
        <w:t>web page on the Customs Internet site contains information regarding Customs requirements.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701"/>
      </w:pPr>
      <w:r>
        <w:rPr/>
        <w:t>The site can be located from the Customs home page by selecting the</w:t>
      </w:r>
    </w:p>
    <w:p>
      <w:pPr>
        <w:spacing w:before="0"/>
        <w:ind w:left="1701" w:right="0" w:firstLine="0"/>
        <w:jc w:val="left"/>
        <w:rPr>
          <w:b/>
          <w:sz w:val="24"/>
        </w:rPr>
      </w:pPr>
      <w:r>
        <w:rPr>
          <w:b/>
          <w:sz w:val="24"/>
        </w:rPr>
        <w:t>Import/Export </w:t>
      </w:r>
      <w:r>
        <w:rPr>
          <w:sz w:val="24"/>
        </w:rPr>
        <w:t>button from the menu on the left, then selecting the </w:t>
      </w:r>
      <w:r>
        <w:rPr>
          <w:b/>
          <w:sz w:val="24"/>
        </w:rPr>
        <w:t>Preferential</w:t>
      </w:r>
    </w:p>
    <w:p>
      <w:pPr>
        <w:pStyle w:val="BodyText"/>
        <w:ind w:left="1701" w:right="1839"/>
      </w:pPr>
      <w:r>
        <w:rPr>
          <w:b/>
        </w:rPr>
        <w:t>- rules of origin </w:t>
      </w:r>
      <w:r>
        <w:rPr/>
        <w:t>button on the drop-down menu. This page contains a list of countries with which Australia has instituted FTAs or trade initiatives. From this page, select the country agreement for which your query relates.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701" w:right="1758"/>
      </w:pPr>
      <w:r>
        <w:rPr/>
        <w:t>The above Customs website address for information that includes preferential rules of origin, certificates of origin or compliance in relation to preferential rules of origin, is: </w:t>
      </w:r>
      <w:hyperlink r:id="rId6">
        <w:r>
          <w:rPr>
            <w:color w:val="0000FF"/>
            <w:u w:val="single" w:color="0000FF"/>
          </w:rPr>
          <w:t>http://www.customs.gov.au/site/page.cfm?u=4401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4648" w:val="left" w:leader="none"/>
        </w:tabs>
        <w:spacing w:before="92"/>
        <w:ind w:left="1701"/>
      </w:pPr>
      <w:r>
        <w:rPr/>
        <w:t>Selections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are:</w:t>
        <w:tab/>
        <w:t>New Zealand (ANZCERTA)</w:t>
      </w:r>
    </w:p>
    <w:p>
      <w:pPr>
        <w:pStyle w:val="BodyText"/>
        <w:ind w:left="4648" w:right="2654"/>
      </w:pPr>
      <w:r>
        <w:rPr/>
        <w:t>Forum Islands (including Fiji) (SPARTECA) Singapore (SAFTA)</w:t>
      </w:r>
    </w:p>
    <w:p>
      <w:pPr>
        <w:pStyle w:val="BodyText"/>
        <w:ind w:left="4648"/>
      </w:pPr>
      <w:r>
        <w:rPr/>
        <w:t>Canada (CANATA)</w:t>
      </w:r>
    </w:p>
    <w:p>
      <w:pPr>
        <w:pStyle w:val="BodyText"/>
        <w:ind w:left="4581" w:right="2145" w:firstLine="67"/>
      </w:pPr>
      <w:r>
        <w:rPr/>
        <w:t>Developing countries/ least developed countries (DC &amp; LDC)</w:t>
      </w:r>
    </w:p>
    <w:p>
      <w:pPr>
        <w:pStyle w:val="BodyText"/>
        <w:ind w:left="4648" w:right="4627"/>
      </w:pPr>
      <w:r>
        <w:rPr/>
        <w:t>United States (AUSFTA) Thailand (TAFTA)</w:t>
      </w:r>
    </w:p>
    <w:p>
      <w:pPr>
        <w:pStyle w:val="BodyText"/>
      </w:pPr>
    </w:p>
    <w:p>
      <w:pPr>
        <w:pStyle w:val="BodyText"/>
        <w:ind w:left="1701"/>
      </w:pPr>
      <w:r>
        <w:rPr/>
        <w:t>Each agreement’s web page contains information including but not limited to: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0" w:after="0"/>
        <w:ind w:left="1701" w:right="1968" w:firstLine="0"/>
        <w:jc w:val="left"/>
        <w:rPr>
          <w:sz w:val="24"/>
        </w:rPr>
      </w:pPr>
      <w:r>
        <w:rPr>
          <w:b/>
          <w:sz w:val="24"/>
        </w:rPr>
        <w:t>Australian Customs Notices - </w:t>
      </w:r>
      <w:r>
        <w:rPr>
          <w:sz w:val="24"/>
        </w:rPr>
        <w:t>these notices contain information specific to the selected agreement regarding rules of origin, tariff changes, and how to claim preference;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0" w:after="0"/>
        <w:ind w:left="1701" w:right="2194" w:firstLine="0"/>
        <w:jc w:val="left"/>
        <w:rPr>
          <w:sz w:val="24"/>
        </w:rPr>
      </w:pPr>
      <w:r>
        <w:rPr>
          <w:b/>
          <w:sz w:val="24"/>
        </w:rPr>
        <w:t>Australian Customs Service Manuals - </w:t>
      </w:r>
      <w:r>
        <w:rPr>
          <w:sz w:val="24"/>
        </w:rPr>
        <w:t>manuals specific to the selected agreement offer a comprehensive reference of Customs origin matters, containing an A - Z detail of all Customs aspects of the</w:t>
      </w:r>
      <w:r>
        <w:rPr>
          <w:spacing w:val="-13"/>
          <w:sz w:val="24"/>
        </w:rPr>
        <w:t> </w:t>
      </w:r>
      <w:r>
        <w:rPr>
          <w:sz w:val="24"/>
        </w:rPr>
        <w:t>FTA;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0" w:after="0"/>
        <w:ind w:left="1701" w:right="1845" w:firstLine="0"/>
        <w:jc w:val="left"/>
        <w:rPr>
          <w:sz w:val="24"/>
        </w:rPr>
      </w:pPr>
      <w:r>
        <w:rPr>
          <w:b/>
          <w:sz w:val="24"/>
        </w:rPr>
        <w:t>Legislation - </w:t>
      </w:r>
      <w:r>
        <w:rPr>
          <w:sz w:val="24"/>
        </w:rPr>
        <w:t>All legislation relevant to the country selected, eg Customs Act, Tariff Act and relevant Regulations that affect the FTAs, is</w:t>
      </w:r>
      <w:r>
        <w:rPr>
          <w:spacing w:val="-17"/>
          <w:sz w:val="24"/>
        </w:rPr>
        <w:t> </w:t>
      </w:r>
      <w:r>
        <w:rPr>
          <w:sz w:val="24"/>
        </w:rPr>
        <w:t>available;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232432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10" w:h="16840"/>
          <w:pgMar w:top="86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96" w:after="0"/>
        <w:ind w:left="1701" w:right="1888" w:firstLine="0"/>
        <w:jc w:val="left"/>
        <w:rPr>
          <w:sz w:val="24"/>
        </w:rPr>
      </w:pPr>
      <w:r>
        <w:rPr>
          <w:b/>
          <w:sz w:val="24"/>
        </w:rPr>
        <w:t>Claiming preference under the Integrated Cargo System (ICS) - </w:t>
      </w:r>
      <w:r>
        <w:rPr>
          <w:sz w:val="24"/>
        </w:rPr>
        <w:t>This document provides a guide to the requirements to claim preferential tariff rates under the</w:t>
      </w:r>
      <w:r>
        <w:rPr>
          <w:spacing w:val="-1"/>
          <w:sz w:val="24"/>
        </w:rPr>
        <w:t> </w:t>
      </w:r>
      <w:r>
        <w:rPr>
          <w:sz w:val="24"/>
        </w:rPr>
        <w:t>ICS;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0" w:after="0"/>
        <w:ind w:left="1701" w:right="1818" w:firstLine="0"/>
        <w:jc w:val="left"/>
        <w:rPr>
          <w:sz w:val="24"/>
        </w:rPr>
      </w:pPr>
      <w:r>
        <w:rPr>
          <w:b/>
          <w:sz w:val="24"/>
        </w:rPr>
        <w:t>Origin rulings - </w:t>
      </w:r>
      <w:r>
        <w:rPr>
          <w:sz w:val="24"/>
        </w:rPr>
        <w:t>Information on the use of origin rulings and the requirements on how to request a ruling;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0" w:after="0"/>
        <w:ind w:left="1701" w:right="1771" w:firstLine="0"/>
        <w:jc w:val="left"/>
        <w:rPr>
          <w:sz w:val="24"/>
        </w:rPr>
      </w:pPr>
      <w:r>
        <w:rPr>
          <w:b/>
          <w:sz w:val="24"/>
        </w:rPr>
        <w:t>Claim of Origin - </w:t>
      </w:r>
      <w:r>
        <w:rPr>
          <w:sz w:val="24"/>
        </w:rPr>
        <w:t>Information relating to evidence required when making an origin claim - that is, requirements for certificates of origin, declarations of origin or evidence of</w:t>
      </w:r>
      <w:r>
        <w:rPr>
          <w:spacing w:val="-1"/>
          <w:sz w:val="24"/>
        </w:rPr>
        <w:t> </w:t>
      </w:r>
      <w:r>
        <w:rPr>
          <w:sz w:val="24"/>
        </w:rPr>
        <w:t>origin.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701" w:right="1891"/>
      </w:pPr>
      <w:r>
        <w:rPr/>
        <w:t>Inquiries concerning this notice may be directed to </w:t>
      </w:r>
      <w:r>
        <w:rPr>
          <w:color w:val="3A3A3A"/>
        </w:rPr>
        <w:t>the Valuation and Origin Section by email to </w:t>
      </w:r>
      <w:hyperlink r:id="rId8">
        <w:r>
          <w:rPr>
            <w:color w:val="0000FF"/>
            <w:u w:val="single" w:color="0000FF"/>
          </w:rPr>
          <w:t>origin@customs.gov.au</w:t>
        </w:r>
      </w:hyperlink>
      <w:r>
        <w:rPr>
          <w:color w:val="0000FF"/>
        </w:rPr>
        <w:t> </w:t>
      </w:r>
      <w:r>
        <w:rPr>
          <w:color w:val="3A3A3A"/>
        </w:rPr>
        <w:t>or telephone (02) 6275 6556, or facsimile (02) 6275 6477.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701" w:right="8227"/>
      </w:pPr>
      <w:r>
        <w:rPr/>
        <w:t>Philomena Carnell National Manager Trade Branch CANBERRA</w:t>
      </w:r>
      <w:r>
        <w:rPr>
          <w:spacing w:val="59"/>
        </w:rPr>
        <w:t> </w:t>
      </w:r>
      <w:r>
        <w:rPr/>
        <w:t>ACT</w:t>
      </w:r>
    </w:p>
    <w:p>
      <w:pPr>
        <w:pStyle w:val="BodyText"/>
        <w:spacing w:before="120"/>
        <w:ind w:left="1701"/>
      </w:pPr>
      <w:r>
        <w:rPr/>
        <w:t>15 February 2006</w:t>
      </w:r>
    </w:p>
    <w:sectPr>
      <w:pgSz w:w="11910" w:h="16840"/>
      <w:pgMar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01" w:hanging="178"/>
      </w:pPr>
      <w:rPr>
        <w:rFonts w:hint="default" w:ascii="Arial" w:hAnsi="Arial" w:eastAsia="Arial" w:cs="Arial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720" w:hanging="1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40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61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81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2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2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43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63" w:hanging="1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Title" w:type="paragraph">
    <w:name w:val="Title"/>
    <w:basedOn w:val="Normal"/>
    <w:uiPriority w:val="1"/>
    <w:qFormat/>
    <w:pPr>
      <w:spacing w:before="19"/>
      <w:ind w:left="2887" w:right="28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701" w:right="177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site/page.cfm?u=4401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origin@customs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Free Trade Agreements: Information on Customs requirements</dc:subject>
  <dc:title>AUSTRALIAN CUSTOMS NOTICE no. 2006/06</dc:title>
  <dcterms:created xsi:type="dcterms:W3CDTF">2020-12-09T23:05:31Z</dcterms:created>
  <dcterms:modified xsi:type="dcterms:W3CDTF">2020-12-09T23:05:31Z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2006-03-06T00:00:00Z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