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Title"/>
        <w:spacing w:after="19"/>
        <w:ind w:left="2887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ragraph">
              <wp:posOffset>-1161899</wp:posOffset>
            </wp:positionV>
            <wp:extent cx="7556754" cy="92734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754" cy="92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USTRALIAN CUSTOMS NOTICE NO. 2006/21" w:id="1"/>
      <w:bookmarkEnd w:id="1"/>
      <w:r>
        <w:rPr>
          <w:b w:val="0"/>
        </w:rPr>
      </w:r>
      <w:r>
        <w:rPr/>
        <w:t>AUSTRALIAN CUSTOMS NOTICE NO. 2006/21</w:t>
      </w:r>
    </w:p>
    <w:p>
      <w:pPr>
        <w:pStyle w:val="BodyText"/>
        <w:spacing w:line="20" w:lineRule="exact"/>
        <w:ind w:left="1671"/>
        <w:rPr>
          <w:sz w:val="2"/>
        </w:rPr>
      </w:pPr>
      <w:r>
        <w:rPr>
          <w:sz w:val="2"/>
        </w:rPr>
        <w:pict>
          <v:group style="width:428.25pt;height:.75pt;mso-position-horizontal-relative:char;mso-position-vertical-relative:line" coordorigin="0,0" coordsize="8565,15">
            <v:rect style="position:absolute;left:0;top:0;width:8565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Title"/>
        <w:spacing w:before="233"/>
      </w:pPr>
      <w:bookmarkStart w:name="Changes to Import Processing Charges" w:id="2"/>
      <w:bookmarkEnd w:id="2"/>
      <w:r>
        <w:rPr>
          <w:b w:val="0"/>
        </w:rPr>
      </w:r>
      <w:r>
        <w:rPr/>
        <w:t>Changes to Import Processing Charges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BodyText"/>
        <w:ind w:left="1701" w:right="1773"/>
      </w:pPr>
      <w:r>
        <w:rPr/>
        <w:t>The Australian Government has announced changes to Customs import declaration processing charges for goods imported by air, sea and post.</w:t>
      </w:r>
    </w:p>
    <w:p>
      <w:pPr>
        <w:pStyle w:val="BodyText"/>
      </w:pPr>
    </w:p>
    <w:p>
      <w:pPr>
        <w:pStyle w:val="BodyText"/>
        <w:ind w:left="1701" w:right="1740"/>
      </w:pPr>
      <w:r>
        <w:rPr/>
        <w:t>The increase follows the Governments decision to increase the import entry threshold for goods imported by air and sea from $250 to $1,000, which took effect from October 2005.</w:t>
      </w:r>
    </w:p>
    <w:p>
      <w:pPr>
        <w:pStyle w:val="BodyText"/>
      </w:pPr>
    </w:p>
    <w:p>
      <w:pPr>
        <w:spacing w:before="0"/>
        <w:ind w:left="1701" w:right="1784" w:firstLine="0"/>
        <w:jc w:val="left"/>
        <w:rPr>
          <w:sz w:val="20"/>
        </w:rPr>
      </w:pPr>
      <w:r>
        <w:rPr>
          <w:sz w:val="20"/>
        </w:rPr>
        <w:t>The new charges are contained in the </w:t>
      </w:r>
      <w:r>
        <w:rPr>
          <w:i/>
          <w:sz w:val="20"/>
        </w:rPr>
        <w:t>Import Processing Charges Regulations 2006, </w:t>
      </w:r>
      <w:r>
        <w:rPr>
          <w:sz w:val="20"/>
        </w:rPr>
        <w:t>which are made under the </w:t>
      </w:r>
      <w:r>
        <w:rPr>
          <w:i/>
          <w:sz w:val="20"/>
        </w:rPr>
        <w:t>Import Processing Charges Act 2001, </w:t>
      </w:r>
      <w:r>
        <w:rPr>
          <w:sz w:val="20"/>
        </w:rPr>
        <w:t>and will take effect on 10 May 2006.</w:t>
      </w:r>
    </w:p>
    <w:p>
      <w:pPr>
        <w:pStyle w:val="BodyText"/>
      </w:pPr>
    </w:p>
    <w:p>
      <w:pPr>
        <w:pStyle w:val="BodyText"/>
        <w:ind w:left="1701"/>
      </w:pPr>
      <w:bookmarkStart w:name="The revised schedule of charges is summa" w:id="3"/>
      <w:bookmarkEnd w:id="3"/>
      <w:r>
        <w:rPr/>
      </w:r>
      <w:r>
        <w:rPr/>
        <w:t>The revised schedule of charges is summarised in the table below.</w:t>
      </w:r>
    </w:p>
    <w:p>
      <w:pPr>
        <w:pStyle w:val="BodyText"/>
        <w:spacing w:before="2"/>
      </w:pPr>
    </w:p>
    <w:tbl>
      <w:tblPr>
        <w:tblW w:w="0" w:type="auto"/>
        <w:jc w:val="left"/>
        <w:tblInd w:w="1709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0"/>
        <w:gridCol w:w="3060"/>
        <w:gridCol w:w="3240"/>
      </w:tblGrid>
      <w:tr>
        <w:trPr>
          <w:trHeight w:val="469" w:hRule="atLeast"/>
        </w:trPr>
        <w:tc>
          <w:tcPr>
            <w:tcW w:w="9360" w:type="dxa"/>
            <w:gridSpan w:val="3"/>
          </w:tcPr>
          <w:p>
            <w:pPr>
              <w:pStyle w:val="TableParagraph"/>
              <w:spacing w:before="119"/>
              <w:ind w:left="1723" w:right="17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Schedule of Integrated Cargo System Cost Recovery Charges</w:t>
            </w:r>
          </w:p>
        </w:tc>
      </w:tr>
      <w:tr>
        <w:trPr>
          <w:trHeight w:val="229" w:hRule="atLeast"/>
        </w:trPr>
        <w:tc>
          <w:tcPr>
            <w:tcW w:w="3060" w:type="dxa"/>
            <w:shd w:val="clear" w:color="auto" w:fill="E4E4E4"/>
          </w:tcPr>
          <w:p>
            <w:pPr>
              <w:pStyle w:val="TableParagraph"/>
              <w:spacing w:line="210" w:lineRule="exact"/>
              <w:ind w:left="1301" w:right="12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Item</w:t>
            </w:r>
          </w:p>
        </w:tc>
        <w:tc>
          <w:tcPr>
            <w:tcW w:w="3060" w:type="dxa"/>
            <w:shd w:val="clear" w:color="auto" w:fill="E4E4E4"/>
          </w:tcPr>
          <w:p>
            <w:pPr>
              <w:pStyle w:val="TableParagraph"/>
              <w:spacing w:line="210" w:lineRule="exact"/>
              <w:ind w:left="694"/>
              <w:rPr>
                <w:b/>
                <w:sz w:val="20"/>
              </w:rPr>
            </w:pPr>
            <w:r>
              <w:rPr>
                <w:b/>
                <w:sz w:val="20"/>
              </w:rPr>
              <w:t>Proposed Charge</w:t>
            </w:r>
          </w:p>
        </w:tc>
        <w:tc>
          <w:tcPr>
            <w:tcW w:w="3240" w:type="dxa"/>
            <w:shd w:val="clear" w:color="auto" w:fill="E4E4E4"/>
          </w:tcPr>
          <w:p>
            <w:pPr>
              <w:pStyle w:val="TableParagraph"/>
              <w:spacing w:line="210" w:lineRule="exact"/>
              <w:ind w:left="1233" w:right="121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Paid By</w:t>
            </w:r>
          </w:p>
        </w:tc>
      </w:tr>
      <w:tr>
        <w:trPr>
          <w:trHeight w:val="291" w:hRule="atLeast"/>
        </w:trPr>
        <w:tc>
          <w:tcPr>
            <w:tcW w:w="9360" w:type="dxa"/>
            <w:gridSpan w:val="3"/>
            <w:tcBorders>
              <w:bottom w:val="nil"/>
            </w:tcBorders>
          </w:tcPr>
          <w:p>
            <w:pPr>
              <w:pStyle w:val="TableParagraph"/>
              <w:spacing w:line="229" w:lineRule="exact"/>
              <w:rPr>
                <w:b/>
                <w:sz w:val="20"/>
              </w:rPr>
            </w:pPr>
            <w:bookmarkStart w:name="Import (N10) and warehouse (N20) declara" w:id="4"/>
            <w:bookmarkEnd w:id="4"/>
            <w:r>
              <w:rPr/>
            </w:r>
            <w:r>
              <w:rPr>
                <w:b/>
                <w:sz w:val="20"/>
              </w:rPr>
              <w:t>Import (N10) and warehouse (N20) declaration charges</w:t>
            </w:r>
          </w:p>
        </w:tc>
      </w:tr>
      <w:tr>
        <w:trPr>
          <w:trHeight w:val="759" w:hRule="atLeast"/>
        </w:trPr>
        <w:tc>
          <w:tcPr>
            <w:tcW w:w="306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56"/>
              <w:rPr>
                <w:sz w:val="20"/>
              </w:rPr>
            </w:pPr>
            <w:r>
              <w:rPr>
                <w:sz w:val="20"/>
              </w:rPr>
              <w:t>Sea (electronic)</w:t>
            </w:r>
          </w:p>
          <w:p>
            <w:pPr>
              <w:pStyle w:val="TableParagraph"/>
              <w:spacing w:before="120"/>
              <w:rPr>
                <w:sz w:val="20"/>
              </w:rPr>
            </w:pPr>
            <w:r>
              <w:rPr>
                <w:sz w:val="20"/>
              </w:rPr>
              <w:t>Air and post (electronic)</w:t>
            </w:r>
          </w:p>
        </w:tc>
        <w:tc>
          <w:tcPr>
            <w:tcW w:w="306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57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$50.00 per</w:t>
            </w:r>
            <w:r>
              <w:rPr>
                <w:b/>
                <w:spacing w:val="-18"/>
                <w:sz w:val="20"/>
              </w:rPr>
              <w:t> </w:t>
            </w:r>
            <w:r>
              <w:rPr>
                <w:b/>
                <w:sz w:val="20"/>
              </w:rPr>
              <w:t>declaration</w:t>
            </w:r>
          </w:p>
          <w:p>
            <w:pPr>
              <w:pStyle w:val="TableParagraph"/>
              <w:spacing w:before="120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$40.20 per</w:t>
            </w:r>
            <w:r>
              <w:rPr>
                <w:b/>
                <w:spacing w:val="-18"/>
                <w:sz w:val="20"/>
              </w:rPr>
              <w:t> </w:t>
            </w:r>
            <w:r>
              <w:rPr>
                <w:b/>
                <w:sz w:val="20"/>
              </w:rPr>
              <w:t>declaration</w:t>
            </w:r>
          </w:p>
        </w:tc>
        <w:tc>
          <w:tcPr>
            <w:tcW w:w="32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56"/>
              <w:ind w:left="113" w:right="197"/>
              <w:rPr>
                <w:sz w:val="20"/>
              </w:rPr>
            </w:pPr>
            <w:r>
              <w:rPr>
                <w:sz w:val="20"/>
              </w:rPr>
              <w:t>The owner, when the declaration is communicated to Customs</w:t>
            </w:r>
          </w:p>
        </w:tc>
      </w:tr>
      <w:tr>
        <w:trPr>
          <w:trHeight w:val="291" w:hRule="atLeast"/>
        </w:trPr>
        <w:tc>
          <w:tcPr>
            <w:tcW w:w="9360" w:type="dxa"/>
            <w:gridSpan w:val="3"/>
            <w:tcBorders>
              <w:bottom w:val="nil"/>
            </w:tcBorders>
          </w:tcPr>
          <w:p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Manual documentary import (N10) and warehouse (N20) declaration charges</w:t>
            </w:r>
          </w:p>
        </w:tc>
      </w:tr>
      <w:tr>
        <w:trPr>
          <w:trHeight w:val="757" w:hRule="atLeast"/>
        </w:trPr>
        <w:tc>
          <w:tcPr>
            <w:tcW w:w="306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56"/>
              <w:rPr>
                <w:sz w:val="20"/>
              </w:rPr>
            </w:pPr>
            <w:r>
              <w:rPr>
                <w:sz w:val="20"/>
              </w:rPr>
              <w:t>Sea (documentary)</w:t>
            </w:r>
          </w:p>
          <w:p>
            <w:pPr>
              <w:pStyle w:val="TableParagraph"/>
              <w:spacing w:before="119"/>
              <w:rPr>
                <w:sz w:val="20"/>
              </w:rPr>
            </w:pPr>
            <w:r>
              <w:rPr>
                <w:sz w:val="20"/>
              </w:rPr>
              <w:t>Air and post (documentary)</w:t>
            </w:r>
          </w:p>
        </w:tc>
        <w:tc>
          <w:tcPr>
            <w:tcW w:w="306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56"/>
              <w:ind w:left="114"/>
              <w:rPr>
                <w:sz w:val="20"/>
              </w:rPr>
            </w:pPr>
            <w:r>
              <w:rPr>
                <w:sz w:val="20"/>
              </w:rPr>
              <w:t>$65.75 per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declaration</w:t>
            </w:r>
          </w:p>
          <w:p>
            <w:pPr>
              <w:pStyle w:val="TableParagraph"/>
              <w:spacing w:before="119"/>
              <w:ind w:left="114"/>
              <w:rPr>
                <w:sz w:val="20"/>
              </w:rPr>
            </w:pPr>
            <w:r>
              <w:rPr>
                <w:sz w:val="20"/>
              </w:rPr>
              <w:t>$48.85 per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declaration</w:t>
            </w:r>
          </w:p>
        </w:tc>
        <w:tc>
          <w:tcPr>
            <w:tcW w:w="32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56"/>
              <w:ind w:left="114" w:right="196"/>
              <w:rPr>
                <w:sz w:val="20"/>
              </w:rPr>
            </w:pPr>
            <w:r>
              <w:rPr>
                <w:sz w:val="20"/>
              </w:rPr>
              <w:t>The owner, when the declaration is communicated to Customs</w:t>
            </w:r>
          </w:p>
        </w:tc>
      </w:tr>
      <w:tr>
        <w:trPr>
          <w:trHeight w:val="460" w:hRule="atLeast"/>
        </w:trPr>
        <w:tc>
          <w:tcPr>
            <w:tcW w:w="3060" w:type="dxa"/>
            <w:tcBorders>
              <w:right w:val="nil"/>
            </w:tcBorders>
          </w:tcPr>
          <w:p>
            <w:pPr>
              <w:pStyle w:val="TableParagraph"/>
              <w:spacing w:line="230" w:lineRule="exact" w:before="3"/>
              <w:ind w:right="1014"/>
              <w:rPr>
                <w:b/>
                <w:sz w:val="20"/>
              </w:rPr>
            </w:pPr>
            <w:bookmarkStart w:name="Periodic declaration processing charges" w:id="5"/>
            <w:bookmarkEnd w:id="5"/>
            <w:r>
              <w:rPr/>
            </w:r>
            <w:bookmarkStart w:name="$1,275 per declaration" w:id="6"/>
            <w:bookmarkEnd w:id="6"/>
            <w:r>
              <w:rPr/>
            </w:r>
            <w:bookmarkStart w:name="The owner, as above" w:id="7"/>
            <w:bookmarkEnd w:id="7"/>
            <w:r>
              <w:rPr/>
            </w:r>
            <w:r>
              <w:rPr>
                <w:b/>
                <w:sz w:val="20"/>
              </w:rPr>
              <w:t>Periodic declaration processing charges</w:t>
            </w:r>
          </w:p>
        </w:tc>
        <w:tc>
          <w:tcPr>
            <w:tcW w:w="30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2"/>
              <w:ind w:left="114"/>
              <w:rPr>
                <w:sz w:val="20"/>
              </w:rPr>
            </w:pPr>
            <w:r>
              <w:rPr>
                <w:sz w:val="20"/>
              </w:rPr>
              <w:t>$1,275 per declaration</w:t>
            </w:r>
          </w:p>
        </w:tc>
        <w:tc>
          <w:tcPr>
            <w:tcW w:w="3240" w:type="dxa"/>
            <w:tcBorders>
              <w:left w:val="nil"/>
            </w:tcBorders>
          </w:tcPr>
          <w:p>
            <w:pPr>
              <w:pStyle w:val="TableParagraph"/>
              <w:spacing w:before="112"/>
              <w:ind w:left="113"/>
              <w:rPr>
                <w:sz w:val="20"/>
              </w:rPr>
            </w:pPr>
            <w:r>
              <w:rPr>
                <w:sz w:val="20"/>
              </w:rPr>
              <w:t>The owner, as above</w:t>
            </w:r>
          </w:p>
        </w:tc>
      </w:tr>
      <w:tr>
        <w:trPr>
          <w:trHeight w:val="457" w:hRule="atLeast"/>
        </w:trPr>
        <w:tc>
          <w:tcPr>
            <w:tcW w:w="3060" w:type="dxa"/>
            <w:tcBorders>
              <w:right w:val="nil"/>
            </w:tcBorders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Request for cargo release</w:t>
            </w:r>
          </w:p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(RCR) processing charge</w:t>
            </w:r>
          </w:p>
        </w:tc>
        <w:tc>
          <w:tcPr>
            <w:tcW w:w="30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9"/>
              <w:ind w:left="114"/>
              <w:rPr>
                <w:sz w:val="20"/>
              </w:rPr>
            </w:pPr>
            <w:r>
              <w:rPr>
                <w:sz w:val="20"/>
              </w:rPr>
              <w:t>$9.40 per RCR</w:t>
            </w:r>
          </w:p>
        </w:tc>
        <w:tc>
          <w:tcPr>
            <w:tcW w:w="3240" w:type="dxa"/>
            <w:tcBorders>
              <w:left w:val="nil"/>
            </w:tcBorders>
          </w:tcPr>
          <w:p>
            <w:pPr>
              <w:pStyle w:val="TableParagraph"/>
              <w:spacing w:before="109"/>
              <w:ind w:left="114"/>
              <w:rPr>
                <w:sz w:val="20"/>
              </w:rPr>
            </w:pPr>
            <w:r>
              <w:rPr>
                <w:sz w:val="20"/>
              </w:rPr>
              <w:t>The owner</w:t>
            </w:r>
          </w:p>
        </w:tc>
      </w:tr>
      <w:tr>
        <w:trPr>
          <w:trHeight w:val="291" w:hRule="atLeast"/>
        </w:trPr>
        <w:tc>
          <w:tcPr>
            <w:tcW w:w="9360" w:type="dxa"/>
            <w:gridSpan w:val="3"/>
            <w:tcBorders>
              <w:bottom w:val="nil"/>
            </w:tcBorders>
          </w:tcPr>
          <w:p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Depot licence application charge</w:t>
            </w:r>
          </w:p>
        </w:tc>
      </w:tr>
      <w:tr>
        <w:trPr>
          <w:trHeight w:val="348" w:hRule="atLeast"/>
        </w:trPr>
        <w:tc>
          <w:tcPr>
            <w:tcW w:w="306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56"/>
              <w:ind w:left="114"/>
              <w:rPr>
                <w:sz w:val="20"/>
              </w:rPr>
            </w:pPr>
            <w:r>
              <w:rPr>
                <w:sz w:val="20"/>
              </w:rPr>
              <w:t>$3,000 per application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6"/>
              <w:ind w:left="115"/>
              <w:rPr>
                <w:sz w:val="20"/>
              </w:rPr>
            </w:pPr>
            <w:r>
              <w:rPr>
                <w:sz w:val="20"/>
              </w:rPr>
              <w:t>New applicants</w:t>
            </w:r>
          </w:p>
        </w:tc>
      </w:tr>
      <w:tr>
        <w:trPr>
          <w:trHeight w:val="868" w:hRule="atLeast"/>
        </w:trPr>
        <w:tc>
          <w:tcPr>
            <w:tcW w:w="3060" w:type="dxa"/>
            <w:tcBorders>
              <w:top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6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56"/>
              <w:ind w:left="114" w:right="191"/>
              <w:rPr>
                <w:sz w:val="20"/>
              </w:rPr>
            </w:pPr>
            <w:r>
              <w:rPr>
                <w:sz w:val="20"/>
              </w:rPr>
              <w:t>$1,500 annual fee for depots with less than 300 transactions per annum.</w:t>
            </w:r>
          </w:p>
        </w:tc>
        <w:tc>
          <w:tcPr>
            <w:tcW w:w="32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56"/>
              <w:ind w:left="114" w:right="808"/>
              <w:rPr>
                <w:sz w:val="20"/>
              </w:rPr>
            </w:pPr>
            <w:r>
              <w:rPr>
                <w:sz w:val="20"/>
              </w:rPr>
              <w:t>Depots with less than 300 transactions p.a.</w:t>
            </w:r>
          </w:p>
        </w:tc>
      </w:tr>
      <w:tr>
        <w:trPr>
          <w:trHeight w:val="580" w:hRule="atLeast"/>
        </w:trPr>
        <w:tc>
          <w:tcPr>
            <w:tcW w:w="3060" w:type="dxa"/>
            <w:tcBorders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60" w:type="dxa"/>
            <w:tcBorders>
              <w:left w:val="nil"/>
              <w:right w:val="nil"/>
            </w:tcBorders>
          </w:tcPr>
          <w:p>
            <w:pPr>
              <w:pStyle w:val="TableParagraph"/>
              <w:ind w:left="114" w:right="268"/>
              <w:rPr>
                <w:sz w:val="20"/>
              </w:rPr>
            </w:pPr>
            <w:r>
              <w:rPr>
                <w:sz w:val="20"/>
              </w:rPr>
              <w:t>$4,000 annual fee for all other depots</w:t>
            </w:r>
          </w:p>
        </w:tc>
        <w:tc>
          <w:tcPr>
            <w:tcW w:w="3240" w:type="dxa"/>
            <w:tcBorders>
              <w:left w:val="nil"/>
            </w:tcBorders>
          </w:tcPr>
          <w:p>
            <w:pPr>
              <w:pStyle w:val="TableParagraph"/>
              <w:spacing w:line="228" w:lineRule="exact"/>
              <w:ind w:left="114"/>
              <w:rPr>
                <w:sz w:val="20"/>
              </w:rPr>
            </w:pPr>
            <w:r>
              <w:rPr>
                <w:sz w:val="20"/>
              </w:rPr>
              <w:t>All other depots</w:t>
            </w:r>
          </w:p>
        </w:tc>
      </w:tr>
      <w:tr>
        <w:trPr>
          <w:trHeight w:val="690" w:hRule="atLeast"/>
        </w:trPr>
        <w:tc>
          <w:tcPr>
            <w:tcW w:w="3060" w:type="dxa"/>
            <w:tcBorders>
              <w:right w:val="nil"/>
            </w:tcBorders>
          </w:tcPr>
          <w:p>
            <w:pPr>
              <w:pStyle w:val="TableParagraph"/>
              <w:ind w:right="736"/>
              <w:rPr>
                <w:b/>
                <w:sz w:val="20"/>
              </w:rPr>
            </w:pPr>
            <w:r>
              <w:rPr>
                <w:b/>
                <w:sz w:val="20"/>
              </w:rPr>
              <w:t>Depot licence variation charge</w:t>
            </w:r>
          </w:p>
        </w:tc>
        <w:tc>
          <w:tcPr>
            <w:tcW w:w="3060" w:type="dxa"/>
            <w:tcBorders>
              <w:left w:val="nil"/>
              <w:right w:val="nil"/>
            </w:tcBorders>
          </w:tcPr>
          <w:p>
            <w:pPr>
              <w:pStyle w:val="TableParagraph"/>
              <w:ind w:left="114" w:right="435"/>
              <w:rPr>
                <w:sz w:val="20"/>
              </w:rPr>
            </w:pPr>
            <w:r>
              <w:rPr>
                <w:sz w:val="20"/>
              </w:rPr>
              <w:t>$300 depot license variation charge</w:t>
            </w:r>
          </w:p>
        </w:tc>
        <w:tc>
          <w:tcPr>
            <w:tcW w:w="3240" w:type="dxa"/>
            <w:tcBorders>
              <w:left w:val="nil"/>
            </w:tcBorders>
          </w:tcPr>
          <w:p>
            <w:pPr>
              <w:pStyle w:val="TableParagraph"/>
              <w:spacing w:line="228" w:lineRule="exact"/>
              <w:ind w:left="114"/>
              <w:rPr>
                <w:sz w:val="20"/>
              </w:rPr>
            </w:pPr>
            <w:r>
              <w:rPr>
                <w:sz w:val="20"/>
              </w:rPr>
              <w:t>All depots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5556503</wp:posOffset>
            </wp:positionH>
            <wp:positionV relativeFrom="paragraph">
              <wp:posOffset>184282</wp:posOffset>
            </wp:positionV>
            <wp:extent cx="1605144" cy="11620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144" cy="116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type w:val="continuous"/>
          <w:pgSz w:w="11910" w:h="16840"/>
          <w:pgMar w:top="860" w:bottom="280" w:left="0" w:right="0"/>
        </w:sectPr>
      </w:pPr>
    </w:p>
    <w:p>
      <w:pPr>
        <w:pStyle w:val="BodyText"/>
        <w:spacing w:before="1"/>
        <w:rPr>
          <w:sz w:val="6"/>
        </w:rPr>
      </w:pPr>
    </w:p>
    <w:tbl>
      <w:tblPr>
        <w:tblW w:w="0" w:type="auto"/>
        <w:jc w:val="left"/>
        <w:tblInd w:w="1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60"/>
        <w:gridCol w:w="2916"/>
        <w:gridCol w:w="3285"/>
      </w:tblGrid>
      <w:tr>
        <w:trPr>
          <w:trHeight w:val="291" w:hRule="atLeast"/>
        </w:trPr>
        <w:tc>
          <w:tcPr>
            <w:tcW w:w="9361" w:type="dxa"/>
            <w:gridSpan w:val="3"/>
            <w:tcBorders>
              <w:top w:val="single" w:sz="6" w:space="0" w:color="7F7F7F"/>
              <w:left w:val="single" w:sz="6" w:space="0" w:color="7F7F7F"/>
              <w:right w:val="single" w:sz="6" w:space="0" w:color="7F7F7F"/>
            </w:tcBorders>
          </w:tcPr>
          <w:p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Import declaration (N30 Warehoused goods) fee</w:t>
            </w:r>
          </w:p>
        </w:tc>
      </w:tr>
      <w:tr>
        <w:trPr>
          <w:trHeight w:val="637" w:hRule="atLeast"/>
        </w:trPr>
        <w:tc>
          <w:tcPr>
            <w:tcW w:w="3160" w:type="dxa"/>
            <w:tcBorders>
              <w:left w:val="single" w:sz="6" w:space="0" w:color="7F7F7F"/>
              <w:bottom w:val="single" w:sz="6" w:space="0" w:color="7F7F7F"/>
            </w:tcBorders>
          </w:tcPr>
          <w:p>
            <w:pPr>
              <w:pStyle w:val="TableParagraph"/>
              <w:spacing w:before="56"/>
              <w:rPr>
                <w:sz w:val="20"/>
              </w:rPr>
            </w:pPr>
            <w:r>
              <w:rPr>
                <w:sz w:val="20"/>
              </w:rPr>
              <w:t>Electronic</w:t>
            </w:r>
          </w:p>
          <w:p>
            <w:pPr>
              <w:pStyle w:val="TableParagraph"/>
              <w:spacing w:line="213" w:lineRule="exact" w:before="119"/>
              <w:rPr>
                <w:sz w:val="20"/>
              </w:rPr>
            </w:pPr>
            <w:r>
              <w:rPr>
                <w:sz w:val="20"/>
              </w:rPr>
              <w:t>Documentary</w:t>
            </w:r>
          </w:p>
        </w:tc>
        <w:tc>
          <w:tcPr>
            <w:tcW w:w="2916" w:type="dxa"/>
            <w:tcBorders>
              <w:bottom w:val="single" w:sz="6" w:space="0" w:color="7F7F7F"/>
            </w:tcBorders>
          </w:tcPr>
          <w:p>
            <w:pPr>
              <w:pStyle w:val="TableParagraph"/>
              <w:spacing w:before="56"/>
              <w:ind w:left="14"/>
              <w:rPr>
                <w:sz w:val="20"/>
              </w:rPr>
            </w:pPr>
            <w:r>
              <w:rPr>
                <w:sz w:val="20"/>
              </w:rPr>
              <w:t>$23.20 per declaration</w:t>
            </w:r>
          </w:p>
          <w:p>
            <w:pPr>
              <w:pStyle w:val="TableParagraph"/>
              <w:spacing w:line="213" w:lineRule="exact" w:before="119"/>
              <w:ind w:left="14"/>
              <w:rPr>
                <w:sz w:val="20"/>
              </w:rPr>
            </w:pPr>
            <w:r>
              <w:rPr>
                <w:sz w:val="20"/>
              </w:rPr>
              <w:t>$60 per declaration</w:t>
            </w:r>
          </w:p>
        </w:tc>
        <w:tc>
          <w:tcPr>
            <w:tcW w:w="3285" w:type="dxa"/>
            <w:tcBorders>
              <w:bottom w:val="single" w:sz="6" w:space="0" w:color="7F7F7F"/>
              <w:right w:val="single" w:sz="6" w:space="0" w:color="7F7F7F"/>
            </w:tcBorders>
          </w:tcPr>
          <w:p>
            <w:pPr>
              <w:pStyle w:val="TableParagraph"/>
              <w:spacing w:before="56"/>
              <w:ind w:left="158" w:right="130"/>
              <w:rPr>
                <w:sz w:val="20"/>
              </w:rPr>
            </w:pPr>
            <w:r>
              <w:rPr>
                <w:sz w:val="20"/>
              </w:rPr>
              <w:t>The owner of warehoused goods, on making an import declaration</w:t>
            </w:r>
          </w:p>
        </w:tc>
      </w:tr>
      <w:tr>
        <w:trPr>
          <w:trHeight w:val="429" w:hRule="atLeast"/>
        </w:trPr>
        <w:tc>
          <w:tcPr>
            <w:tcW w:w="3160" w:type="dxa"/>
            <w:tcBorders>
              <w:top w:val="single" w:sz="6" w:space="0" w:color="7F7F7F"/>
              <w:left w:val="single" w:sz="6" w:space="0" w:color="7F7F7F"/>
            </w:tcBorders>
          </w:tcPr>
          <w:p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Manual cargo reporting charges</w:t>
            </w:r>
          </w:p>
        </w:tc>
        <w:tc>
          <w:tcPr>
            <w:tcW w:w="6201" w:type="dxa"/>
            <w:gridSpan w:val="2"/>
            <w:tcBorders>
              <w:top w:val="single" w:sz="6" w:space="0" w:color="7F7F7F"/>
              <w:right w:val="single" w:sz="6" w:space="0" w:color="7F7F7F"/>
            </w:tcBorders>
          </w:tcPr>
          <w:p>
            <w:pPr>
              <w:pStyle w:val="TableParagraph"/>
              <w:ind w:left="374" w:right="227"/>
              <w:rPr>
                <w:i/>
                <w:sz w:val="16"/>
              </w:rPr>
            </w:pPr>
            <w:r>
              <w:rPr>
                <w:i/>
                <w:sz w:val="16"/>
              </w:rPr>
              <w:t>(to be discontinued after statutory moratorium on mandatory electronic reporting of cargo reports under section 64AB of the Customs Act 1901)</w:t>
            </w:r>
          </w:p>
        </w:tc>
      </w:tr>
      <w:tr>
        <w:trPr>
          <w:trHeight w:val="869" w:hRule="atLeast"/>
        </w:trPr>
        <w:tc>
          <w:tcPr>
            <w:tcW w:w="3160" w:type="dxa"/>
            <w:tcBorders>
              <w:left w:val="single" w:sz="6" w:space="0" w:color="7F7F7F"/>
              <w:bottom w:val="single" w:sz="6" w:space="0" w:color="7F7F7F"/>
            </w:tcBorders>
          </w:tcPr>
          <w:p>
            <w:pPr>
              <w:pStyle w:val="TableParagraph"/>
              <w:spacing w:line="364" w:lineRule="auto" w:before="56"/>
              <w:ind w:right="2670"/>
              <w:rPr>
                <w:sz w:val="20"/>
              </w:rPr>
            </w:pPr>
            <w:r>
              <w:rPr>
                <w:sz w:val="20"/>
              </w:rPr>
              <w:t>Sea Air</w:t>
            </w:r>
          </w:p>
        </w:tc>
        <w:tc>
          <w:tcPr>
            <w:tcW w:w="2916" w:type="dxa"/>
            <w:tcBorders>
              <w:bottom w:val="single" w:sz="6" w:space="0" w:color="7F7F7F"/>
            </w:tcBorders>
          </w:tcPr>
          <w:p>
            <w:pPr>
              <w:pStyle w:val="TableParagraph"/>
              <w:spacing w:before="56"/>
              <w:ind w:left="14"/>
              <w:rPr>
                <w:sz w:val="20"/>
              </w:rPr>
            </w:pPr>
            <w:r>
              <w:rPr>
                <w:sz w:val="20"/>
              </w:rPr>
              <w:t>$2.60 per manifest line</w:t>
            </w:r>
          </w:p>
          <w:p>
            <w:pPr>
              <w:pStyle w:val="TableParagraph"/>
              <w:spacing w:line="230" w:lineRule="atLeast" w:before="120"/>
              <w:ind w:left="14" w:right="124"/>
              <w:rPr>
                <w:sz w:val="20"/>
              </w:rPr>
            </w:pPr>
            <w:r>
              <w:rPr>
                <w:sz w:val="20"/>
              </w:rPr>
              <w:t>$3.00 per house or straight line airway bill</w:t>
            </w:r>
          </w:p>
        </w:tc>
        <w:tc>
          <w:tcPr>
            <w:tcW w:w="3285" w:type="dxa"/>
            <w:tcBorders>
              <w:bottom w:val="single" w:sz="6" w:space="0" w:color="7F7F7F"/>
              <w:right w:val="single" w:sz="6" w:space="0" w:color="7F7F7F"/>
            </w:tcBorders>
          </w:tcPr>
          <w:p>
            <w:pPr>
              <w:pStyle w:val="TableParagraph"/>
              <w:spacing w:before="9"/>
              <w:ind w:left="0"/>
              <w:rPr>
                <w:sz w:val="24"/>
              </w:rPr>
            </w:pPr>
          </w:p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The cargo handler, on reporting</w:t>
            </w:r>
          </w:p>
        </w:tc>
      </w:tr>
    </w:tbl>
    <w:p>
      <w:pPr>
        <w:pStyle w:val="BodyText"/>
        <w:spacing w:before="6"/>
        <w:rPr>
          <w:sz w:val="11"/>
        </w:rPr>
      </w:pPr>
    </w:p>
    <w:p>
      <w:pPr>
        <w:pStyle w:val="BodyText"/>
        <w:spacing w:before="94"/>
        <w:ind w:left="1701" w:right="3129"/>
      </w:pPr>
      <w:r>
        <w:rPr/>
        <w:t>The above schedule of charges will apply to transactions processed through the Integrated Cargo System from and including 10 May 2006.</w:t>
      </w:r>
    </w:p>
    <w:p>
      <w:pPr>
        <w:pStyle w:val="BodyText"/>
      </w:pPr>
    </w:p>
    <w:p>
      <w:pPr>
        <w:pStyle w:val="BodyText"/>
        <w:ind w:left="1701"/>
      </w:pPr>
      <w:r>
        <w:rPr/>
        <w:t>Inquiries concerning this notice may be directed to Director Revenue and Budgets,</w:t>
      </w:r>
    </w:p>
    <w:p>
      <w:pPr>
        <w:pStyle w:val="BodyText"/>
        <w:spacing w:before="1"/>
        <w:ind w:left="1701" w:right="4218"/>
      </w:pPr>
      <w:r>
        <w:rPr/>
        <w:t>Financial Services Division on telephone number (02) 6275 6382 or fax number (02) 6275 5779.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BodyText"/>
        <w:ind w:left="1701" w:right="8231"/>
      </w:pPr>
      <w:r>
        <w:rPr/>
        <w:t>Jon Brocklehurst Chief Financial Officer CANBERRA</w:t>
      </w:r>
      <w:r>
        <w:rPr>
          <w:spacing w:val="52"/>
        </w:rPr>
        <w:t> </w:t>
      </w:r>
      <w:r>
        <w:rPr/>
        <w:t>ACT</w:t>
      </w:r>
    </w:p>
    <w:p>
      <w:pPr>
        <w:pStyle w:val="BodyText"/>
        <w:spacing w:line="229" w:lineRule="exact"/>
        <w:ind w:left="1867"/>
      </w:pPr>
      <w:r>
        <w:rPr/>
        <w:t>April 2006</w:t>
      </w:r>
    </w:p>
    <w:sectPr>
      <w:pgSz w:w="11910" w:h="16840"/>
      <w:pgMar w:top="16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232"/>
      <w:ind w:left="2885" w:right="2883"/>
      <w:jc w:val="center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106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AUSTRALIAN CUSTOMS NOTICE NO</dc:title>
  <dcterms:created xsi:type="dcterms:W3CDTF">2020-12-09T22:21:34Z</dcterms:created>
  <dcterms:modified xsi:type="dcterms:W3CDTF">2020-12-09T22:21:34Z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2006-04-28T00:00:00Z</vt:filetime>
  </property>
  <property fmtid="{D5CDD505-2E9C-101B-9397-08002B2CF9AE}" pid="3" name="Creator">
    <vt:lpwstr>Acrobat PDFMaker 7.0.7 for Word</vt:lpwstr>
  </property>
  <property fmtid="{D5CDD505-2E9C-101B-9397-08002B2CF9AE}" pid="4" name="LastSaved">
    <vt:filetime>2020-12-09T00:00:00Z</vt:filetime>
  </property>
</Properties>
</file>