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-1161899</wp:posOffset>
            </wp:positionV>
            <wp:extent cx="7556754" cy="93344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754" cy="9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28" w:id="1"/>
      <w:bookmarkEnd w:id="1"/>
      <w:r>
        <w:rPr>
          <w:b w:val="0"/>
        </w:rPr>
      </w:r>
      <w:r>
        <w:rPr/>
        <w:t>AUSTRALIAN CUSTOMS NOTICE NO. 2006/28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33"/>
        <w:ind w:left="1701" w:right="1535" w:firstLine="0"/>
        <w:jc w:val="left"/>
        <w:rPr>
          <w:sz w:val="28"/>
        </w:rPr>
      </w:pPr>
      <w:bookmarkStart w:name="Amendments to the Customs (Prohibited Ex" w:id="2"/>
      <w:bookmarkEnd w:id="2"/>
      <w:r>
        <w:rPr/>
      </w:r>
      <w:r>
        <w:rPr>
          <w:sz w:val="28"/>
        </w:rPr>
        <w:t>Amendments to the </w:t>
      </w:r>
      <w:r>
        <w:rPr>
          <w:i/>
          <w:sz w:val="28"/>
        </w:rPr>
        <w:t>Customs (Prohibited Exports) Regulations 1958 </w:t>
      </w:r>
      <w:r>
        <w:rPr>
          <w:sz w:val="28"/>
        </w:rPr>
        <w:t>– Regulation 4A – Exportation of Chemicals</w:t>
      </w:r>
    </w:p>
    <w:p>
      <w:pPr>
        <w:pStyle w:val="BodyText"/>
        <w:rPr>
          <w:sz w:val="25"/>
        </w:rPr>
      </w:pPr>
    </w:p>
    <w:p>
      <w:pPr>
        <w:pStyle w:val="BodyText"/>
        <w:ind w:left="1701" w:right="1183"/>
      </w:pPr>
      <w:r>
        <w:rPr/>
        <w:t>The </w:t>
      </w:r>
      <w:r>
        <w:rPr>
          <w:i/>
        </w:rPr>
        <w:t>Customs (Prohibited Exports) Regulations 1958 </w:t>
      </w:r>
      <w:r>
        <w:rPr/>
        <w:t>(PE Regulations) have been amended to prohibit without permission, the export of six new chemicals and to amend the description of five existing chemicals in accordance with Australia’s obligations as a member of the Rotterdam Convention.</w:t>
      </w:r>
    </w:p>
    <w:p>
      <w:pPr>
        <w:pStyle w:val="BodyText"/>
        <w:spacing w:before="1"/>
      </w:pPr>
    </w:p>
    <w:p>
      <w:pPr>
        <w:pStyle w:val="BodyText"/>
        <w:ind w:left="1701"/>
      </w:pPr>
      <w:r>
        <w:rPr/>
        <w:t>The amendments prohibit the export without permission under regulation 4A of the following: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7240"/>
      </w:pPr>
      <w:r>
        <w:rPr>
          <w:u w:val="single"/>
        </w:rPr>
        <w:t>CAS Registry</w:t>
      </w:r>
      <w:r>
        <w:rPr>
          <w:spacing w:val="-3"/>
          <w:u w:val="single"/>
        </w:rPr>
        <w:t> </w:t>
      </w:r>
      <w:r>
        <w:rPr>
          <w:u w:val="single"/>
        </w:rPr>
        <w:t>Number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  <w:tab w:pos="7460" w:val="left" w:leader="none"/>
        </w:tabs>
        <w:spacing w:line="240" w:lineRule="auto" w:before="0" w:after="0"/>
        <w:ind w:left="2421" w:right="0" w:hanging="361"/>
        <w:jc w:val="left"/>
        <w:rPr>
          <w:sz w:val="20"/>
        </w:rPr>
      </w:pPr>
      <w:r>
        <w:rPr>
          <w:sz w:val="20"/>
        </w:rPr>
        <w:t>Benomyl (when in a dustable powder made</w:t>
      </w:r>
      <w:r>
        <w:rPr>
          <w:spacing w:val="-6"/>
          <w:sz w:val="20"/>
        </w:rPr>
        <w:t> </w:t>
      </w:r>
      <w:r>
        <w:rPr>
          <w:sz w:val="20"/>
        </w:rPr>
        <w:t>up</w:t>
      </w:r>
      <w:r>
        <w:rPr>
          <w:spacing w:val="-1"/>
          <w:sz w:val="20"/>
        </w:rPr>
        <w:t> </w:t>
      </w:r>
      <w:r>
        <w:rPr>
          <w:sz w:val="20"/>
        </w:rPr>
        <w:t>of:</w:t>
        <w:tab/>
        <w:t>CAS</w:t>
      </w:r>
      <w:r>
        <w:rPr>
          <w:spacing w:val="-1"/>
          <w:sz w:val="20"/>
        </w:rPr>
        <w:t> </w:t>
      </w:r>
      <w:r>
        <w:rPr>
          <w:sz w:val="20"/>
        </w:rPr>
        <w:t>17804-35-2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3141" w:val="left" w:leader="none"/>
          <w:tab w:pos="3142" w:val="left" w:leader="none"/>
        </w:tabs>
        <w:spacing w:line="230" w:lineRule="exact" w:before="0" w:after="0"/>
        <w:ind w:left="3141" w:right="0" w:hanging="721"/>
        <w:jc w:val="left"/>
        <w:rPr>
          <w:sz w:val="20"/>
        </w:rPr>
      </w:pPr>
      <w:r>
        <w:rPr>
          <w:sz w:val="20"/>
        </w:rPr>
        <w:t>7% or more of benomyl;</w:t>
      </w:r>
      <w:r>
        <w:rPr>
          <w:spacing w:val="-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3141" w:val="left" w:leader="none"/>
          <w:tab w:pos="3142" w:val="left" w:leader="none"/>
        </w:tabs>
        <w:spacing w:line="230" w:lineRule="exact" w:before="0" w:after="0"/>
        <w:ind w:left="3141" w:right="0" w:hanging="721"/>
        <w:jc w:val="left"/>
        <w:rPr>
          <w:sz w:val="20"/>
        </w:rPr>
      </w:pPr>
      <w:r>
        <w:rPr>
          <w:sz w:val="20"/>
        </w:rPr>
        <w:t>10% or more carbofuran;</w:t>
      </w:r>
      <w:r>
        <w:rPr>
          <w:spacing w:val="-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3142" w:val="left" w:leader="none"/>
          <w:tab w:pos="3143" w:val="left" w:leader="none"/>
        </w:tabs>
        <w:spacing w:line="240" w:lineRule="auto" w:before="1" w:after="0"/>
        <w:ind w:left="3142" w:right="0" w:hanging="722"/>
        <w:jc w:val="left"/>
        <w:rPr>
          <w:sz w:val="20"/>
        </w:rPr>
      </w:pPr>
      <w:r>
        <w:rPr>
          <w:sz w:val="20"/>
        </w:rPr>
        <w:t>15% or more of</w:t>
      </w:r>
      <w:r>
        <w:rPr>
          <w:spacing w:val="-6"/>
          <w:sz w:val="20"/>
        </w:rPr>
        <w:t> </w:t>
      </w:r>
      <w:r>
        <w:rPr>
          <w:sz w:val="20"/>
        </w:rPr>
        <w:t>thiram)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  <w:tab w:pos="7460" w:val="left" w:leader="none"/>
        </w:tabs>
        <w:spacing w:line="240" w:lineRule="auto" w:before="0" w:after="0"/>
        <w:ind w:left="2421" w:right="0" w:hanging="361"/>
        <w:jc w:val="left"/>
        <w:rPr>
          <w:sz w:val="20"/>
        </w:rPr>
      </w:pPr>
      <w:r>
        <w:rPr>
          <w:sz w:val="20"/>
        </w:rPr>
        <w:t>Binapacryl</w:t>
        <w:tab/>
        <w:t>CAS</w:t>
      </w:r>
      <w:r>
        <w:rPr>
          <w:spacing w:val="-2"/>
          <w:sz w:val="20"/>
        </w:rPr>
        <w:t> </w:t>
      </w:r>
      <w:r>
        <w:rPr>
          <w:sz w:val="20"/>
        </w:rPr>
        <w:t>485-31-4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  <w:tab w:pos="7460" w:val="left" w:leader="none"/>
        </w:tabs>
        <w:spacing w:line="240" w:lineRule="auto" w:before="1" w:after="0"/>
        <w:ind w:left="2421" w:right="0" w:hanging="361"/>
        <w:jc w:val="left"/>
        <w:rPr>
          <w:sz w:val="20"/>
        </w:rPr>
      </w:pPr>
      <w:r>
        <w:rPr>
          <w:sz w:val="20"/>
        </w:rPr>
        <w:t>Carbofuran (when in a dustable powder made</w:t>
      </w:r>
      <w:r>
        <w:rPr>
          <w:spacing w:val="-26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of:</w:t>
        <w:tab/>
        <w:t>CAS</w:t>
      </w:r>
      <w:r>
        <w:rPr>
          <w:spacing w:val="-1"/>
          <w:sz w:val="20"/>
        </w:rPr>
        <w:t> </w:t>
      </w:r>
      <w:r>
        <w:rPr>
          <w:sz w:val="20"/>
        </w:rPr>
        <w:t>1566-66-2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141" w:val="left" w:leader="none"/>
          <w:tab w:pos="3142" w:val="left" w:leader="none"/>
        </w:tabs>
        <w:spacing w:line="240" w:lineRule="auto" w:before="0" w:after="0"/>
        <w:ind w:left="3141" w:right="0" w:hanging="721"/>
        <w:jc w:val="left"/>
        <w:rPr>
          <w:sz w:val="20"/>
        </w:rPr>
      </w:pPr>
      <w:r>
        <w:rPr>
          <w:sz w:val="20"/>
        </w:rPr>
        <w:t>7% or more of benomyl;</w:t>
      </w:r>
      <w:r>
        <w:rPr>
          <w:spacing w:val="-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2"/>
        </w:numPr>
        <w:tabs>
          <w:tab w:pos="3141" w:val="left" w:leader="none"/>
          <w:tab w:pos="3142" w:val="left" w:leader="none"/>
        </w:tabs>
        <w:spacing w:line="240" w:lineRule="auto" w:before="0" w:after="0"/>
        <w:ind w:left="3141" w:right="0" w:hanging="721"/>
        <w:jc w:val="left"/>
        <w:rPr>
          <w:sz w:val="20"/>
        </w:rPr>
      </w:pPr>
      <w:r>
        <w:rPr>
          <w:sz w:val="20"/>
        </w:rPr>
        <w:t>10% or more carbofuran;</w:t>
      </w:r>
      <w:r>
        <w:rPr>
          <w:spacing w:val="-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2"/>
        </w:numPr>
        <w:tabs>
          <w:tab w:pos="3142" w:val="left" w:leader="none"/>
          <w:tab w:pos="3143" w:val="left" w:leader="none"/>
        </w:tabs>
        <w:spacing w:line="240" w:lineRule="auto" w:before="1" w:after="0"/>
        <w:ind w:left="3142" w:right="0" w:hanging="722"/>
        <w:jc w:val="left"/>
        <w:rPr>
          <w:sz w:val="20"/>
        </w:rPr>
      </w:pPr>
      <w:r>
        <w:rPr>
          <w:sz w:val="20"/>
        </w:rPr>
        <w:t>15% or more of</w:t>
      </w:r>
      <w:r>
        <w:rPr>
          <w:spacing w:val="-6"/>
          <w:sz w:val="20"/>
        </w:rPr>
        <w:t> </w:t>
      </w:r>
      <w:r>
        <w:rPr>
          <w:sz w:val="20"/>
        </w:rPr>
        <w:t>thiram)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  <w:tab w:pos="7460" w:val="left" w:leader="none"/>
        </w:tabs>
        <w:spacing w:line="240" w:lineRule="auto" w:before="0" w:after="0"/>
        <w:ind w:left="2421" w:right="0" w:hanging="361"/>
        <w:jc w:val="left"/>
        <w:rPr>
          <w:sz w:val="20"/>
        </w:rPr>
      </w:pPr>
      <w:r>
        <w:rPr>
          <w:sz w:val="20"/>
        </w:rPr>
        <w:t>Ethylene</w:t>
      </w:r>
      <w:r>
        <w:rPr>
          <w:spacing w:val="-6"/>
          <w:sz w:val="20"/>
        </w:rPr>
        <w:t> </w:t>
      </w:r>
      <w:r>
        <w:rPr>
          <w:sz w:val="20"/>
        </w:rPr>
        <w:t>dichloride</w:t>
        <w:tab/>
        <w:t>CAS</w:t>
      </w:r>
      <w:r>
        <w:rPr>
          <w:spacing w:val="-1"/>
          <w:sz w:val="20"/>
        </w:rPr>
        <w:t> </w:t>
      </w:r>
      <w:r>
        <w:rPr>
          <w:sz w:val="20"/>
        </w:rPr>
        <w:t>107-06-02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  <w:tab w:pos="7461" w:val="left" w:leader="none"/>
        </w:tabs>
        <w:spacing w:line="240" w:lineRule="auto" w:before="0" w:after="0"/>
        <w:ind w:left="2421" w:right="0" w:hanging="361"/>
        <w:jc w:val="left"/>
        <w:rPr>
          <w:sz w:val="20"/>
        </w:rPr>
      </w:pPr>
      <w:r>
        <w:rPr>
          <w:sz w:val="20"/>
        </w:rPr>
        <w:t>Ethylene</w:t>
      </w:r>
      <w:r>
        <w:rPr>
          <w:spacing w:val="-4"/>
          <w:sz w:val="20"/>
        </w:rPr>
        <w:t> </w:t>
      </w:r>
      <w:r>
        <w:rPr>
          <w:sz w:val="20"/>
        </w:rPr>
        <w:t>oxide</w:t>
        <w:tab/>
        <w:t>CAS</w:t>
      </w:r>
      <w:r>
        <w:rPr>
          <w:spacing w:val="-1"/>
          <w:sz w:val="20"/>
        </w:rPr>
        <w:t> </w:t>
      </w:r>
      <w:r>
        <w:rPr>
          <w:sz w:val="20"/>
        </w:rPr>
        <w:t>75-21-8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  <w:tab w:pos="7458" w:val="left" w:leader="none"/>
        </w:tabs>
        <w:spacing w:line="240" w:lineRule="auto" w:before="0" w:after="0"/>
        <w:ind w:left="2421" w:right="0" w:hanging="361"/>
        <w:jc w:val="left"/>
        <w:rPr>
          <w:sz w:val="20"/>
        </w:rPr>
      </w:pPr>
      <w:r>
        <w:rPr>
          <w:sz w:val="20"/>
        </w:rPr>
        <w:t>Thiram (when in a dustable powder made</w:t>
      </w:r>
      <w:r>
        <w:rPr>
          <w:spacing w:val="-27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of:</w:t>
        <w:tab/>
        <w:t>CAS</w:t>
      </w:r>
      <w:r>
        <w:rPr>
          <w:spacing w:val="-1"/>
          <w:sz w:val="20"/>
        </w:rPr>
        <w:t> </w:t>
      </w:r>
      <w:r>
        <w:rPr>
          <w:sz w:val="20"/>
        </w:rPr>
        <w:t>137-26-8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3141" w:val="left" w:leader="none"/>
          <w:tab w:pos="3142" w:val="left" w:leader="none"/>
        </w:tabs>
        <w:spacing w:line="230" w:lineRule="exact" w:before="1" w:after="0"/>
        <w:ind w:left="3141" w:right="0" w:hanging="721"/>
        <w:jc w:val="left"/>
        <w:rPr>
          <w:sz w:val="20"/>
        </w:rPr>
      </w:pPr>
      <w:r>
        <w:rPr>
          <w:sz w:val="20"/>
        </w:rPr>
        <w:t>7% or more of benomyl;</w:t>
      </w:r>
      <w:r>
        <w:rPr>
          <w:spacing w:val="-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3"/>
        </w:numPr>
        <w:tabs>
          <w:tab w:pos="3141" w:val="left" w:leader="none"/>
          <w:tab w:pos="3142" w:val="left" w:leader="none"/>
        </w:tabs>
        <w:spacing w:line="230" w:lineRule="exact" w:before="0" w:after="0"/>
        <w:ind w:left="3141" w:right="0" w:hanging="721"/>
        <w:jc w:val="left"/>
        <w:rPr>
          <w:sz w:val="20"/>
        </w:rPr>
      </w:pPr>
      <w:r>
        <w:rPr>
          <w:sz w:val="20"/>
        </w:rPr>
        <w:t>10% or more carbofuran;</w:t>
      </w:r>
      <w:r>
        <w:rPr>
          <w:spacing w:val="-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3"/>
        </w:numPr>
        <w:tabs>
          <w:tab w:pos="3142" w:val="left" w:leader="none"/>
          <w:tab w:pos="3143" w:val="left" w:leader="none"/>
        </w:tabs>
        <w:spacing w:line="240" w:lineRule="auto" w:before="0" w:after="0"/>
        <w:ind w:left="3142" w:right="0" w:hanging="722"/>
        <w:jc w:val="left"/>
        <w:rPr>
          <w:sz w:val="20"/>
        </w:rPr>
      </w:pPr>
      <w:r>
        <w:rPr>
          <w:sz w:val="20"/>
        </w:rPr>
        <w:t>15% or more of</w:t>
      </w:r>
      <w:r>
        <w:rPr>
          <w:spacing w:val="-6"/>
          <w:sz w:val="20"/>
        </w:rPr>
        <w:t> </w:t>
      </w:r>
      <w:r>
        <w:rPr>
          <w:sz w:val="20"/>
        </w:rPr>
        <w:t>thiram)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/>
      </w:pPr>
      <w:r>
        <w:rPr/>
        <w:t>These substances have been added to Schedule 2 of the PE Regulations.</w:t>
      </w:r>
    </w:p>
    <w:p>
      <w:pPr>
        <w:pStyle w:val="BodyText"/>
        <w:spacing w:before="1"/>
      </w:pPr>
    </w:p>
    <w:p>
      <w:pPr>
        <w:pStyle w:val="BodyText"/>
        <w:ind w:left="1701"/>
      </w:pPr>
      <w:r>
        <w:rPr/>
        <w:t>The following existing substances have had their descriptions amended within Schedule 2: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  <w:tab w:pos="7461" w:val="left" w:leader="none"/>
        </w:tabs>
        <w:spacing w:line="240" w:lineRule="auto" w:before="0" w:after="0"/>
        <w:ind w:left="2421" w:right="0" w:hanging="361"/>
        <w:jc w:val="left"/>
        <w:rPr>
          <w:sz w:val="20"/>
        </w:rPr>
      </w:pPr>
      <w:r>
        <w:rPr>
          <w:sz w:val="20"/>
        </w:rPr>
        <w:t>2,4,5-T and its salts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esters</w:t>
        <w:tab/>
        <w:t>(item</w:t>
      </w:r>
      <w:r>
        <w:rPr>
          <w:spacing w:val="-1"/>
          <w:sz w:val="20"/>
        </w:rPr>
        <w:t> </w:t>
      </w:r>
      <w:r>
        <w:rPr>
          <w:sz w:val="20"/>
        </w:rPr>
        <w:t>2)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  <w:tab w:pos="7461" w:val="left" w:leader="none"/>
        </w:tabs>
        <w:spacing w:line="240" w:lineRule="auto" w:before="14" w:after="0"/>
        <w:ind w:left="2421" w:right="0" w:hanging="361"/>
        <w:jc w:val="left"/>
        <w:rPr>
          <w:sz w:val="20"/>
        </w:rPr>
      </w:pPr>
      <w:r>
        <w:rPr>
          <w:sz w:val="20"/>
        </w:rPr>
        <w:t>dinoseb and its salts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esters</w:t>
        <w:tab/>
        <w:t>(item</w:t>
      </w:r>
      <w:r>
        <w:rPr>
          <w:spacing w:val="-1"/>
          <w:sz w:val="20"/>
        </w:rPr>
        <w:t> </w:t>
      </w:r>
      <w:r>
        <w:rPr>
          <w:sz w:val="20"/>
        </w:rPr>
        <w:t>11)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  <w:tab w:pos="7459" w:val="left" w:leader="none"/>
        </w:tabs>
        <w:spacing w:line="240" w:lineRule="auto" w:before="14" w:after="0"/>
        <w:ind w:left="2421" w:right="0" w:hanging="361"/>
        <w:jc w:val="left"/>
        <w:rPr>
          <w:sz w:val="20"/>
        </w:rPr>
      </w:pPr>
      <w:r>
        <w:rPr>
          <w:sz w:val="20"/>
        </w:rPr>
        <w:t>dinitro-ortho-cresol (DNOC) and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salts</w:t>
        <w:tab/>
        <w:t>(item</w:t>
      </w:r>
      <w:r>
        <w:rPr>
          <w:spacing w:val="-1"/>
          <w:sz w:val="20"/>
        </w:rPr>
        <w:t> </w:t>
      </w:r>
      <w:r>
        <w:rPr>
          <w:sz w:val="20"/>
        </w:rPr>
        <w:t>12)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  <w:tab w:pos="7460" w:val="left" w:leader="none"/>
        </w:tabs>
        <w:spacing w:line="240" w:lineRule="auto" w:before="12" w:after="0"/>
        <w:ind w:left="2421" w:right="0" w:hanging="361"/>
        <w:jc w:val="left"/>
        <w:rPr>
          <w:sz w:val="20"/>
        </w:rPr>
      </w:pPr>
      <w:r>
        <w:rPr>
          <w:sz w:val="20"/>
        </w:rPr>
        <w:t>pentachlorophenol and its salts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esters</w:t>
        <w:tab/>
        <w:t>(item</w:t>
      </w:r>
      <w:r>
        <w:rPr>
          <w:spacing w:val="-1"/>
          <w:sz w:val="20"/>
        </w:rPr>
        <w:t> </w:t>
      </w:r>
      <w:r>
        <w:rPr>
          <w:sz w:val="20"/>
        </w:rPr>
        <w:t>22)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  <w:tab w:pos="7461" w:val="left" w:leader="none"/>
        </w:tabs>
        <w:spacing w:line="240" w:lineRule="auto" w:before="14" w:after="0"/>
        <w:ind w:left="2421" w:right="0" w:hanging="361"/>
        <w:jc w:val="left"/>
        <w:rPr>
          <w:sz w:val="20"/>
        </w:rPr>
      </w:pPr>
      <w:r>
        <w:rPr>
          <w:sz w:val="20"/>
        </w:rPr>
        <w:t>methylmercury</w:t>
      </w:r>
      <w:r>
        <w:rPr>
          <w:spacing w:val="-6"/>
          <w:sz w:val="20"/>
        </w:rPr>
        <w:t> </w:t>
      </w:r>
      <w:r>
        <w:rPr>
          <w:sz w:val="20"/>
        </w:rPr>
        <w:t>2,3-dihydroxypropyl</w:t>
      </w:r>
      <w:r>
        <w:rPr>
          <w:spacing w:val="-5"/>
          <w:sz w:val="20"/>
        </w:rPr>
        <w:t> </w:t>
      </w:r>
      <w:r>
        <w:rPr>
          <w:sz w:val="20"/>
        </w:rPr>
        <w:t>mercaptide</w:t>
        <w:tab/>
        <w:t>(item</w:t>
      </w:r>
      <w:r>
        <w:rPr>
          <w:spacing w:val="-1"/>
          <w:sz w:val="20"/>
        </w:rPr>
        <w:t> </w:t>
      </w:r>
      <w:r>
        <w:rPr>
          <w:sz w:val="20"/>
        </w:rPr>
        <w:t>32)</w:t>
      </w:r>
    </w:p>
    <w:p>
      <w:pPr>
        <w:pStyle w:val="BodyText"/>
      </w:pPr>
    </w:p>
    <w:p>
      <w:pPr>
        <w:pStyle w:val="BodyText"/>
        <w:spacing w:before="1"/>
        <w:ind w:left="1701" w:right="957"/>
      </w:pPr>
      <w:r>
        <w:rPr/>
        <w:t>Additional explanatory amendments have been added by way of subregulation 2(1), subregulation 4A(1A) and Schedule 2 at the footnote. The amendments describe the use of CAS Registry Numbers, the use of salts and esters and guidance as to primary chemical CAS Registry Number identification.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5556503</wp:posOffset>
            </wp:positionH>
            <wp:positionV relativeFrom="paragraph">
              <wp:posOffset>166560</wp:posOffset>
            </wp:positionV>
            <wp:extent cx="1620472" cy="12287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472" cy="12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1910" w:h="16840"/>
          <w:pgMar w:top="860" w:bottom="280" w:left="0" w:right="0"/>
        </w:sectPr>
      </w:pPr>
    </w:p>
    <w:p>
      <w:pPr>
        <w:pStyle w:val="BodyText"/>
        <w:spacing w:before="77"/>
        <w:ind w:left="1701" w:right="1699"/>
        <w:jc w:val="both"/>
        <w:rPr>
          <w:i/>
        </w:rPr>
      </w:pPr>
      <w:r>
        <w:rPr/>
        <w:t>A CAS Registry Number is a number assigned to a chemical by the Chemical Abstracts Service, Columbus, Ohio, United States of America and published by the Service in the journal </w:t>
      </w:r>
      <w:r>
        <w:rPr>
          <w:i/>
        </w:rPr>
        <w:t>Chemical Abstracts.</w:t>
      </w:r>
    </w:p>
    <w:p>
      <w:pPr>
        <w:pStyle w:val="BodyText"/>
        <w:rPr>
          <w:i/>
        </w:rPr>
      </w:pPr>
    </w:p>
    <w:p>
      <w:pPr>
        <w:pStyle w:val="BodyText"/>
        <w:ind w:left="1701"/>
        <w:jc w:val="both"/>
      </w:pPr>
      <w:r>
        <w:rPr/>
        <w:t>The amendments took effect from 12 June 2006.</w:t>
      </w:r>
    </w:p>
    <w:p>
      <w:pPr>
        <w:pStyle w:val="BodyText"/>
      </w:pPr>
    </w:p>
    <w:p>
      <w:pPr>
        <w:pStyle w:val="BodyText"/>
        <w:ind w:left="1701" w:right="1817"/>
      </w:pPr>
      <w:r>
        <w:rPr/>
        <w:t>Enquiries concerning this notice should be directed to Robert Moore, Community Protection on telephone number (02) 6275 6129 or fax (02) 6229 3840.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1701" w:right="8610"/>
      </w:pPr>
      <w:r>
        <w:rPr/>
        <w:t>Tim Chapman National Manager Cargo Branch CANBERRA ACT</w:t>
      </w:r>
    </w:p>
    <w:p>
      <w:pPr>
        <w:pStyle w:val="BodyText"/>
      </w:pPr>
    </w:p>
    <w:p>
      <w:pPr>
        <w:pStyle w:val="BodyText"/>
        <w:ind w:left="1701"/>
        <w:jc w:val="both"/>
      </w:pPr>
      <w:r>
        <w:rPr/>
        <w:t>16 June 2006</w:t>
      </w:r>
    </w:p>
    <w:sectPr>
      <w:pgSz w:w="11910" w:h="16840"/>
      <w:pgMar w:top="13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(%1)"/>
      <w:lvlJc w:val="left"/>
      <w:pPr>
        <w:ind w:left="3141" w:hanging="720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4016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92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69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45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22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98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75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151" w:hanging="72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3141" w:hanging="720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4016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92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69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45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22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98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75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151" w:hanging="72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421" w:hanging="361"/>
      </w:pPr>
      <w:rPr>
        <w:rFonts w:hint="default" w:ascii="Arial" w:hAnsi="Arial" w:eastAsia="Arial" w:cs="Arial"/>
        <w:w w:val="131"/>
        <w:sz w:val="20"/>
        <w:szCs w:val="20"/>
      </w:rPr>
    </w:lvl>
    <w:lvl w:ilvl="1">
      <w:start w:val="1"/>
      <w:numFmt w:val="lowerLetter"/>
      <w:lvlText w:val="(%2)"/>
      <w:lvlJc w:val="left"/>
      <w:pPr>
        <w:ind w:left="3141" w:hanging="720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4113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87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61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09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82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56" w:hanging="72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2887" w:right="2883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2421" w:hanging="36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Communication</dc:creator>
  <dc:subject>Amendments to the Customs (Prohibited Exports) Regulations 1958 - Regulation 4A - Exportation of Chemicals</dc:subject>
  <dc:title>Australian Customs Notice 2006/28</dc:title>
  <dcterms:created xsi:type="dcterms:W3CDTF">2020-12-09T23:15:33Z</dcterms:created>
  <dcterms:modified xsi:type="dcterms:W3CDTF">2020-12-09T23:15:33Z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2006-06-26T00:00:00Z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2020-12-09T00:00:00Z</vt:filetime>
  </property>
</Properties>
</file>