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-1163042</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rPr>
      </w:r>
      <w:bookmarkStart w:name="AUSTRALIAN CUSTOMS NOTICE NO. 2007/12 " w:id="2"/>
      <w:bookmarkEnd w:id="2"/>
      <w:r>
        <w:rPr>
          <w:b w:val="0"/>
        </w:rPr>
      </w:r>
      <w:r>
        <w:rPr/>
        <w:t>AUSTRALIAN CUSTOMS NOTICE NO. 2007/12 </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9"/>
        <w:rPr>
          <w:b/>
          <w:sz w:val="16"/>
        </w:rPr>
      </w:pPr>
    </w:p>
    <w:p>
      <w:pPr>
        <w:spacing w:before="90"/>
        <w:ind w:left="1715" w:right="1711" w:firstLine="0"/>
        <w:jc w:val="center"/>
        <w:rPr>
          <w:sz w:val="28"/>
        </w:rPr>
      </w:pPr>
      <w:bookmarkStart w:name="United Nations Security Council (UNSC) R" w:id="3"/>
      <w:bookmarkEnd w:id="3"/>
      <w:r>
        <w:rPr/>
      </w:r>
      <w:r>
        <w:rPr>
          <w:sz w:val="28"/>
        </w:rPr>
        <w:t>United Nations Security Council (UNSC) Resolution 1737:</w:t>
      </w:r>
      <w:r>
        <w:rPr>
          <w:spacing w:val="-14"/>
          <w:sz w:val="28"/>
        </w:rPr>
        <w:t> </w:t>
      </w:r>
      <w:r>
        <w:rPr>
          <w:sz w:val="28"/>
        </w:rPr>
        <w:t>Sanctions on the import and export of all items, materials, equipment, goods and technology which could contribute to Iran’s nuclear enrichment- related, reprocessing or heavy-water activities, or to the development of nuclear weapon delivery</w:t>
      </w:r>
      <w:r>
        <w:rPr>
          <w:spacing w:val="-4"/>
          <w:sz w:val="28"/>
        </w:rPr>
        <w:t> </w:t>
      </w:r>
      <w:r>
        <w:rPr>
          <w:sz w:val="28"/>
        </w:rPr>
        <w:t>systems</w:t>
      </w:r>
    </w:p>
    <w:p>
      <w:pPr>
        <w:pStyle w:val="BodyText"/>
        <w:spacing w:before="10"/>
        <w:rPr>
          <w:sz w:val="39"/>
        </w:rPr>
      </w:pPr>
    </w:p>
    <w:p>
      <w:pPr>
        <w:spacing w:before="0"/>
        <w:ind w:left="1701" w:right="2251" w:firstLine="0"/>
        <w:jc w:val="both"/>
        <w:rPr>
          <w:sz w:val="20"/>
        </w:rPr>
      </w:pPr>
      <w:r>
        <w:rPr>
          <w:sz w:val="20"/>
        </w:rPr>
        <w:t>The following amendments to the </w:t>
      </w:r>
      <w:r>
        <w:rPr>
          <w:i/>
          <w:sz w:val="20"/>
        </w:rPr>
        <w:t>Customs (Prohibited Exports) Regulations </w:t>
      </w:r>
      <w:r>
        <w:rPr>
          <w:sz w:val="20"/>
        </w:rPr>
        <w:t>1958 and the </w:t>
      </w:r>
      <w:r>
        <w:rPr>
          <w:i/>
          <w:sz w:val="20"/>
        </w:rPr>
        <w:t>Customs (Prohibited Imports) Regulations </w:t>
      </w:r>
      <w:r>
        <w:rPr>
          <w:sz w:val="20"/>
        </w:rPr>
        <w:t>1956 relating to Iran will come into effect on 20 February 2007.</w:t>
      </w:r>
    </w:p>
    <w:p>
      <w:pPr>
        <w:pStyle w:val="BodyText"/>
        <w:rPr>
          <w:sz w:val="21"/>
        </w:rPr>
      </w:pPr>
    </w:p>
    <w:p>
      <w:pPr>
        <w:spacing w:before="0"/>
        <w:ind w:left="1701" w:right="0" w:firstLine="0"/>
        <w:jc w:val="both"/>
        <w:rPr>
          <w:b/>
          <w:sz w:val="24"/>
        </w:rPr>
      </w:pPr>
      <w:bookmarkStart w:name="UNSC Sanctions " w:id="4"/>
      <w:bookmarkEnd w:id="4"/>
      <w:r>
        <w:rPr/>
      </w:r>
      <w:r>
        <w:rPr>
          <w:b/>
          <w:sz w:val="24"/>
        </w:rPr>
        <w:t>UNSC Sanctions</w:t>
      </w:r>
    </w:p>
    <w:p>
      <w:pPr>
        <w:pStyle w:val="BodyText"/>
        <w:spacing w:before="59"/>
        <w:ind w:left="1701" w:right="1784"/>
      </w:pPr>
      <w:r>
        <w:rPr/>
        <w:t>UNSC Resolution 1737 obliges Member States to take steps to prevent the direct or indirect supply, sale or transfer of all items, materials, equipment, goods and technology which could contribute to Iran’s nuclear enrichment-related, reprocessing or heavy water-related activities. The Resolution also includes obligations to prevent the direct or indirect supply, sale or transfer of all items, materials, equipment, goods and technology which could contribute to the development of nuclear weapon delivery systems</w:t>
      </w:r>
    </w:p>
    <w:p>
      <w:pPr>
        <w:pStyle w:val="BodyText"/>
        <w:spacing w:before="11"/>
        <w:rPr>
          <w:sz w:val="19"/>
        </w:rPr>
      </w:pPr>
    </w:p>
    <w:p>
      <w:pPr>
        <w:pStyle w:val="BodyText"/>
        <w:ind w:left="1701" w:right="1873"/>
        <w:jc w:val="both"/>
      </w:pPr>
      <w:r>
        <w:rPr/>
        <w:t>As a result, Regulation 13CQ of the </w:t>
      </w:r>
      <w:r>
        <w:rPr>
          <w:i/>
        </w:rPr>
        <w:t>Customs (Prohibited Exports) Regulations </w:t>
      </w:r>
      <w:r>
        <w:rPr/>
        <w:t>1958 has been introduced with effect from 20 February 2007. This regulation prohibits the exportation to Iran, without the written permission of the Minister for Foreign Affairs, of the following:</w:t>
      </w:r>
    </w:p>
    <w:p>
      <w:pPr>
        <w:pStyle w:val="BodyText"/>
        <w:spacing w:before="2"/>
        <w:rPr>
          <w:sz w:val="21"/>
        </w:rPr>
      </w:pPr>
    </w:p>
    <w:p>
      <w:pPr>
        <w:pStyle w:val="ListParagraph"/>
        <w:numPr>
          <w:ilvl w:val="0"/>
          <w:numId w:val="1"/>
        </w:numPr>
        <w:tabs>
          <w:tab w:pos="2061" w:val="left" w:leader="none"/>
          <w:tab w:pos="2062" w:val="left" w:leader="none"/>
        </w:tabs>
        <w:spacing w:line="240" w:lineRule="auto" w:before="0" w:after="0"/>
        <w:ind w:left="2061" w:right="0" w:hanging="361"/>
        <w:jc w:val="left"/>
        <w:rPr>
          <w:sz w:val="20"/>
        </w:rPr>
      </w:pPr>
      <w:r>
        <w:rPr>
          <w:sz w:val="20"/>
        </w:rPr>
        <w:t>Non-nuclear materials for</w:t>
      </w:r>
      <w:r>
        <w:rPr>
          <w:spacing w:val="-5"/>
          <w:sz w:val="20"/>
        </w:rPr>
        <w:t> </w:t>
      </w:r>
      <w:r>
        <w:rPr>
          <w:sz w:val="20"/>
        </w:rPr>
        <w:t>reactors;</w:t>
      </w:r>
    </w:p>
    <w:p>
      <w:pPr>
        <w:pStyle w:val="ListParagraph"/>
        <w:numPr>
          <w:ilvl w:val="0"/>
          <w:numId w:val="1"/>
        </w:numPr>
        <w:tabs>
          <w:tab w:pos="2061" w:val="left" w:leader="none"/>
          <w:tab w:pos="2062" w:val="left" w:leader="none"/>
        </w:tabs>
        <w:spacing w:line="240" w:lineRule="auto" w:before="14" w:after="0"/>
        <w:ind w:left="2061" w:right="1928" w:hanging="360"/>
        <w:jc w:val="left"/>
        <w:rPr>
          <w:sz w:val="20"/>
        </w:rPr>
      </w:pPr>
      <w:r>
        <w:rPr>
          <w:sz w:val="20"/>
        </w:rPr>
        <w:t>Plants for the reprocessing of irradiated fuel elements and equipment especially designed or prepared for such</w:t>
      </w:r>
      <w:r>
        <w:rPr>
          <w:spacing w:val="-6"/>
          <w:sz w:val="20"/>
        </w:rPr>
        <w:t> </w:t>
      </w:r>
      <w:r>
        <w:rPr>
          <w:sz w:val="20"/>
        </w:rPr>
        <w:t>reprocessing;</w:t>
      </w:r>
    </w:p>
    <w:p>
      <w:pPr>
        <w:pStyle w:val="ListParagraph"/>
        <w:numPr>
          <w:ilvl w:val="0"/>
          <w:numId w:val="1"/>
        </w:numPr>
        <w:tabs>
          <w:tab w:pos="2061" w:val="left" w:leader="none"/>
          <w:tab w:pos="2062" w:val="left" w:leader="none"/>
        </w:tabs>
        <w:spacing w:line="240" w:lineRule="auto" w:before="12" w:after="0"/>
        <w:ind w:left="2061" w:right="2460" w:hanging="360"/>
        <w:jc w:val="left"/>
        <w:rPr>
          <w:sz w:val="20"/>
        </w:rPr>
      </w:pPr>
      <w:r>
        <w:rPr>
          <w:sz w:val="20"/>
        </w:rPr>
        <w:t>Plants for the fabrication of nuclear reactor fuel elements, and equipment especially designed or prepared for such</w:t>
      </w:r>
      <w:r>
        <w:rPr>
          <w:spacing w:val="-6"/>
          <w:sz w:val="20"/>
        </w:rPr>
        <w:t> </w:t>
      </w:r>
      <w:r>
        <w:rPr>
          <w:sz w:val="20"/>
        </w:rPr>
        <w:t>fabrication;</w:t>
      </w:r>
    </w:p>
    <w:p>
      <w:pPr>
        <w:pStyle w:val="ListParagraph"/>
        <w:numPr>
          <w:ilvl w:val="0"/>
          <w:numId w:val="1"/>
        </w:numPr>
        <w:tabs>
          <w:tab w:pos="2061" w:val="left" w:leader="none"/>
          <w:tab w:pos="2062" w:val="left" w:leader="none"/>
        </w:tabs>
        <w:spacing w:line="240" w:lineRule="auto" w:before="15" w:after="0"/>
        <w:ind w:left="2061" w:right="2369" w:hanging="360"/>
        <w:jc w:val="left"/>
        <w:rPr>
          <w:sz w:val="20"/>
        </w:rPr>
      </w:pPr>
      <w:r>
        <w:rPr>
          <w:sz w:val="20"/>
        </w:rPr>
        <w:t>Plants for the separation of isotopes of uranium and equipment, other than analytical instruments, especially designed or prepared for such</w:t>
      </w:r>
      <w:r>
        <w:rPr>
          <w:spacing w:val="-9"/>
          <w:sz w:val="20"/>
        </w:rPr>
        <w:t> </w:t>
      </w:r>
      <w:r>
        <w:rPr>
          <w:sz w:val="20"/>
        </w:rPr>
        <w:t>separation;</w:t>
      </w:r>
    </w:p>
    <w:p>
      <w:pPr>
        <w:pStyle w:val="ListParagraph"/>
        <w:numPr>
          <w:ilvl w:val="0"/>
          <w:numId w:val="1"/>
        </w:numPr>
        <w:tabs>
          <w:tab w:pos="2061" w:val="left" w:leader="none"/>
          <w:tab w:pos="2062" w:val="left" w:leader="none"/>
        </w:tabs>
        <w:spacing w:line="240" w:lineRule="auto" w:before="12" w:after="0"/>
        <w:ind w:left="2061" w:right="3163" w:hanging="360"/>
        <w:jc w:val="left"/>
        <w:rPr>
          <w:sz w:val="20"/>
        </w:rPr>
      </w:pPr>
      <w:r>
        <w:rPr>
          <w:sz w:val="20"/>
        </w:rPr>
        <w:t>Vacuum systems and pumps, special shut-off and control valves, UF</w:t>
      </w:r>
      <w:r>
        <w:rPr>
          <w:sz w:val="20"/>
          <w:vertAlign w:val="subscript"/>
        </w:rPr>
        <w:t>6</w:t>
      </w:r>
      <w:r>
        <w:rPr>
          <w:sz w:val="20"/>
          <w:vertAlign w:val="baseline"/>
        </w:rPr>
        <w:t> mass spectrometers/ion sources, and UF</w:t>
      </w:r>
      <w:r>
        <w:rPr>
          <w:sz w:val="20"/>
          <w:vertAlign w:val="subscript"/>
        </w:rPr>
        <w:t>6</w:t>
      </w:r>
      <w:r>
        <w:rPr>
          <w:sz w:val="20"/>
          <w:vertAlign w:val="baseline"/>
        </w:rPr>
        <w:t> /carrier gas separation</w:t>
      </w:r>
      <w:r>
        <w:rPr>
          <w:spacing w:val="-10"/>
          <w:sz w:val="20"/>
          <w:vertAlign w:val="baseline"/>
        </w:rPr>
        <w:t> </w:t>
      </w:r>
      <w:r>
        <w:rPr>
          <w:sz w:val="20"/>
          <w:vertAlign w:val="baseline"/>
        </w:rPr>
        <w:t>systems;</w:t>
      </w:r>
    </w:p>
    <w:p>
      <w:pPr>
        <w:pStyle w:val="ListParagraph"/>
        <w:numPr>
          <w:ilvl w:val="0"/>
          <w:numId w:val="1"/>
        </w:numPr>
        <w:tabs>
          <w:tab w:pos="2061" w:val="left" w:leader="none"/>
          <w:tab w:pos="2062" w:val="left" w:leader="none"/>
        </w:tabs>
        <w:spacing w:line="240" w:lineRule="auto" w:before="14" w:after="0"/>
        <w:ind w:left="2061" w:right="2494" w:hanging="360"/>
        <w:jc w:val="left"/>
        <w:rPr>
          <w:sz w:val="20"/>
        </w:rPr>
      </w:pPr>
      <w:r>
        <w:rPr>
          <w:sz w:val="20"/>
        </w:rPr>
        <w:t>Plants for the production or concentration of heavy water, deuterium and deuterium compounds and equipment especially designed or prepared for such</w:t>
      </w:r>
      <w:r>
        <w:rPr>
          <w:spacing w:val="-15"/>
          <w:sz w:val="20"/>
        </w:rPr>
        <w:t> </w:t>
      </w:r>
      <w:r>
        <w:rPr>
          <w:sz w:val="20"/>
        </w:rPr>
        <w:t>plants;</w:t>
      </w:r>
    </w:p>
    <w:p>
      <w:pPr>
        <w:pStyle w:val="ListParagraph"/>
        <w:numPr>
          <w:ilvl w:val="0"/>
          <w:numId w:val="1"/>
        </w:numPr>
        <w:tabs>
          <w:tab w:pos="2062" w:val="left" w:leader="none"/>
        </w:tabs>
        <w:spacing w:line="240" w:lineRule="auto" w:before="14" w:after="0"/>
        <w:ind w:left="2061" w:right="1823" w:hanging="360"/>
        <w:jc w:val="both"/>
        <w:rPr>
          <w:sz w:val="20"/>
        </w:rPr>
      </w:pPr>
      <w:r>
        <w:rPr>
          <w:sz w:val="20"/>
        </w:rPr>
        <w:t>Plants for the conversion of uranium or plutonium for use in the fabrication of fuel elements and the separation of uranium isotopes and equipment especially designed or prepared for such including</w:t>
      </w:r>
      <w:r>
        <w:rPr>
          <w:spacing w:val="-3"/>
          <w:sz w:val="20"/>
        </w:rPr>
        <w:t> </w:t>
      </w:r>
      <w:r>
        <w:rPr>
          <w:sz w:val="20"/>
        </w:rPr>
        <w:t>plants.</w:t>
      </w:r>
    </w:p>
    <w:p>
      <w:pPr>
        <w:pStyle w:val="BodyText"/>
      </w:pPr>
    </w:p>
    <w:p>
      <w:pPr>
        <w:pStyle w:val="BodyText"/>
        <w:ind w:left="1701" w:right="1951"/>
      </w:pPr>
      <w:r>
        <w:rPr/>
        <w:t>Included in the prohibited exports are “source material” and “special fissionable material” as defined in Article XX of the Statute of the International Atomic Energy Agency except for low- enriched uranium when it is incorporated in assembled nuclear fuel elements for light water reactors. In addition, nuclear reactors and especially designed or prepared equipment and components for such reactors, except for equipment and components for light water reactors, are also subject to export prohibitions.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r>
        <w:rPr/>
        <w:drawing>
          <wp:anchor distT="0" distB="0" distL="0" distR="0" allowOverlap="1" layoutInCell="1" locked="0" behindDoc="0" simplePos="0" relativeHeight="1">
            <wp:simplePos x="0" y="0"/>
            <wp:positionH relativeFrom="page">
              <wp:posOffset>5557265</wp:posOffset>
            </wp:positionH>
            <wp:positionV relativeFrom="paragraph">
              <wp:posOffset>196270</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p>
      <w:pPr>
        <w:spacing w:after="0"/>
        <w:rPr>
          <w:sz w:val="23"/>
        </w:rPr>
        <w:sectPr>
          <w:type w:val="continuous"/>
          <w:pgSz w:w="11910" w:h="16840"/>
          <w:pgMar w:top="400" w:bottom="280" w:left="0" w:right="0"/>
        </w:sectPr>
      </w:pPr>
    </w:p>
    <w:p>
      <w:pPr>
        <w:pStyle w:val="BodyText"/>
        <w:spacing w:before="7"/>
        <w:rPr>
          <w:sz w:val="17"/>
        </w:rPr>
      </w:pPr>
    </w:p>
    <w:p>
      <w:pPr>
        <w:spacing w:before="94"/>
        <w:ind w:left="1701" w:right="1794" w:firstLine="0"/>
        <w:jc w:val="left"/>
        <w:rPr>
          <w:sz w:val="20"/>
        </w:rPr>
      </w:pPr>
      <w:r>
        <w:rPr>
          <w:sz w:val="20"/>
        </w:rPr>
        <w:t>However, the exportation of goods listed in the defence and strategic goods list continues to be controlled under regulation 13E of the </w:t>
      </w:r>
      <w:r>
        <w:rPr>
          <w:i/>
          <w:sz w:val="20"/>
        </w:rPr>
        <w:t>Customs (Prohibited Exports) Regulations </w:t>
      </w:r>
      <w:r>
        <w:rPr>
          <w:sz w:val="20"/>
        </w:rPr>
        <w:t>1958.</w:t>
      </w:r>
    </w:p>
    <w:p>
      <w:pPr>
        <w:pStyle w:val="BodyText"/>
      </w:pPr>
    </w:p>
    <w:p>
      <w:pPr>
        <w:pStyle w:val="BodyText"/>
        <w:ind w:left="1701" w:right="1862"/>
      </w:pPr>
      <w:r>
        <w:rPr/>
        <w:t>UNSC Resolution 1737 also obliges Member States to prevent the importation from Iran of the equipment and components listed above.</w:t>
      </w:r>
    </w:p>
    <w:p>
      <w:pPr>
        <w:pStyle w:val="BodyText"/>
      </w:pPr>
    </w:p>
    <w:p>
      <w:pPr>
        <w:pStyle w:val="BodyText"/>
        <w:ind w:left="1701" w:right="1918"/>
      </w:pPr>
      <w:r>
        <w:rPr/>
        <w:t>As a result, Regulation 4Z of the </w:t>
      </w:r>
      <w:r>
        <w:rPr>
          <w:i/>
        </w:rPr>
        <w:t>Customs (Prohibited Imports) Regulations </w:t>
      </w:r>
      <w:r>
        <w:rPr/>
        <w:t>1956 has been introduced with effect from 20 February 2007. This regulation prohibits the importation from Iran of the equipment and materials listed above without the written permission of the Minister for Foreign Affairs.</w:t>
      </w:r>
    </w:p>
    <w:p>
      <w:pPr>
        <w:pStyle w:val="BodyText"/>
      </w:pPr>
    </w:p>
    <w:p>
      <w:pPr>
        <w:pStyle w:val="BodyText"/>
        <w:ind w:left="1701" w:right="1817"/>
      </w:pPr>
      <w:r>
        <w:rPr/>
        <w:t>The written permission of the Minister for Foreign Affairs, or an authorised officer of his Department, must be produced to Customs before such goods are cleared for exportation to or importation from Iran.</w:t>
      </w:r>
    </w:p>
    <w:p>
      <w:pPr>
        <w:pStyle w:val="BodyText"/>
      </w:pPr>
    </w:p>
    <w:p>
      <w:pPr>
        <w:pStyle w:val="BodyText"/>
        <w:ind w:left="1701" w:right="1772"/>
      </w:pPr>
      <w:r>
        <w:rPr/>
        <w:t>All importers, exporters, customs brokers and freight forwarders must use the Country Code IR when reporting to Customs the exportation or importation of goods to or from Iran. Errors in country codes may lead to delays in the clearance of cargo. Inquiries concerning this notice may be directed to the Manager, Counter Proliferation on telephone number (02) 6275 6189,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9"/>
        <w:ind w:left="1701"/>
      </w:pPr>
      <w:r>
        <w:rPr/>
        <w:t>Jim Stewart</w:t>
      </w:r>
    </w:p>
    <w:p>
      <w:pPr>
        <w:pStyle w:val="BodyText"/>
        <w:ind w:left="1701" w:right="7876"/>
      </w:pPr>
      <w:r>
        <w:rPr/>
        <w:t>A/g National Manager Trade Policy &amp; Regulation CANBERRA</w:t>
      </w:r>
      <w:r>
        <w:rPr>
          <w:spacing w:val="53"/>
        </w:rPr>
        <w:t> </w:t>
      </w:r>
      <w:r>
        <w:rPr/>
        <w:t>ACT</w:t>
      </w:r>
    </w:p>
    <w:p>
      <w:pPr>
        <w:pStyle w:val="BodyText"/>
        <w:spacing w:before="120"/>
        <w:ind w:left="1701"/>
      </w:pPr>
      <w:r>
        <w:rPr/>
        <w:t>16 February</w:t>
      </w:r>
      <w:r>
        <w:rPr>
          <w:spacing w:val="-4"/>
        </w:rPr>
        <w:t> </w:t>
      </w:r>
      <w:r>
        <w:rPr/>
        <w:t>2007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0"/>
        <w:ind w:right="1697"/>
        <w:jc w:val="right"/>
      </w:pPr>
      <w:r>
        <w:rPr>
          <w:w w:val="100"/>
        </w:rPr>
        <w:t>2</w:t>
      </w:r>
    </w:p>
    <w:sectPr>
      <w:pgSz w:w="1191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0"/>
      </w:pPr>
      <w:rPr>
        <w:rFonts w:hint="default" w:ascii="Arial" w:hAnsi="Arial" w:eastAsia="Arial" w:cs="Arial"/>
        <w:w w:val="131"/>
        <w:sz w:val="20"/>
        <w:szCs w:val="20"/>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6" w:right="2884"/>
      <w:jc w:val="center"/>
    </w:pPr>
    <w:rPr>
      <w:rFonts w:ascii="Arial" w:hAnsi="Arial" w:eastAsia="Arial" w:cs="Arial"/>
      <w:b/>
      <w:bCs/>
      <w:sz w:val="28"/>
      <w:szCs w:val="28"/>
    </w:rPr>
  </w:style>
  <w:style w:styleId="ListParagraph" w:type="paragraph">
    <w:name w:val="List Paragraph"/>
    <w:basedOn w:val="Normal"/>
    <w:uiPriority w:val="1"/>
    <w:qFormat/>
    <w:pPr>
      <w:spacing w:before="12"/>
      <w:ind w:left="206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United Nations Security Council (UNSC) Resolution 1737: Sanctions on the import and export of all items, materials, equipment, goods and technology which could contribute to Iran’s nuclear enrichment-related, reprocessing or heavy-water activities, or to the development of nuclear weapon delivery systems</dc:subject>
  <dc:title>AUSTRALIAN CUSTOMS NOTICE NO. 2007/12</dc:title>
  <dcterms:created xsi:type="dcterms:W3CDTF">2020-12-09T22:42:08Z</dcterms:created>
  <dcterms:modified xsi:type="dcterms:W3CDTF">2020-12-09T22:42:08Z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2007-02-19T00:00:00Z</vt:filetime>
  </property>
  <property fmtid="{D5CDD505-2E9C-101B-9397-08002B2CF9AE}" pid="3" name="Creator">
    <vt:lpwstr>Acrobat PDFMaker 7.0 for Word</vt:lpwstr>
  </property>
  <property fmtid="{D5CDD505-2E9C-101B-9397-08002B2CF9AE}" pid="4" name="LastSaved">
    <vt:filetime>2020-12-09T00:00:00Z</vt:filetime>
  </property>
</Properties>
</file>