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92000" cy="92659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92000" cy="926592"/>
                    </a:xfrm>
                    <a:prstGeom prst="rect">
                      <a:avLst/>
                    </a:prstGeom>
                  </pic:spPr>
                </pic:pic>
              </a:graphicData>
            </a:graphic>
          </wp:inline>
        </w:drawing>
      </w:r>
      <w:r>
        <w:rPr>
          <w:rFonts w:ascii="Times New Roman"/>
        </w:rPr>
      </w:r>
    </w:p>
    <w:p>
      <w:pPr>
        <w:pStyle w:val="BodyText"/>
        <w:rPr>
          <w:rFonts w:ascii="Times New Roman"/>
        </w:rPr>
      </w:pPr>
    </w:p>
    <w:p>
      <w:pPr>
        <w:spacing w:line="550" w:lineRule="atLeast" w:before="41"/>
        <w:ind w:left="1851" w:right="1778" w:firstLine="1080"/>
        <w:jc w:val="left"/>
        <w:rPr>
          <w:b/>
          <w:sz w:val="28"/>
        </w:rPr>
      </w:pPr>
      <w:r>
        <w:rPr/>
        <w:pict>
          <v:line style="position:absolute;mso-position-horizontal-relative:page;mso-position-vertical-relative:paragraph;z-index:-15922688" from="79.379997pt,37.023491pt" to="502.379997pt,37.023491pt" stroked="true" strokeweight=".75pt" strokecolor="#010101">
            <v:stroke dashstyle="solid"/>
            <w10:wrap type="none"/>
          </v:line>
        </w:pict>
      </w:r>
      <w:r>
        <w:rPr>
          <w:b/>
          <w:sz w:val="28"/>
        </w:rPr>
        <w:t>AUSTRALIAN CUSTOMS NOTICE NO. 2007/19 MATURATION CERTIFICATES FOR SPIRITOUS BEVERAGES :</w:t>
      </w:r>
    </w:p>
    <w:p>
      <w:pPr>
        <w:spacing w:before="1"/>
        <w:ind w:left="3593" w:right="0" w:firstLine="0"/>
        <w:jc w:val="left"/>
        <w:rPr>
          <w:b/>
          <w:sz w:val="28"/>
        </w:rPr>
      </w:pPr>
      <w:r>
        <w:rPr>
          <w:b/>
          <w:sz w:val="28"/>
        </w:rPr>
        <w:t>APPROVED ISSUING AUTHORITIES</w:t>
      </w:r>
    </w:p>
    <w:p>
      <w:pPr>
        <w:pStyle w:val="BodyText"/>
        <w:spacing w:before="10"/>
        <w:rPr>
          <w:b/>
          <w:sz w:val="39"/>
        </w:rPr>
      </w:pPr>
    </w:p>
    <w:p>
      <w:pPr>
        <w:pStyle w:val="BodyText"/>
        <w:ind w:left="1587"/>
      </w:pPr>
      <w:r>
        <w:rPr/>
        <w:t>This ACN provides additional information to ACN 2006/33 dated 27 June 2006.</w:t>
      </w:r>
    </w:p>
    <w:p>
      <w:pPr>
        <w:pStyle w:val="BodyText"/>
      </w:pPr>
    </w:p>
    <w:p>
      <w:pPr>
        <w:pStyle w:val="BodyText"/>
        <w:ind w:left="1587" w:right="1621"/>
      </w:pPr>
      <w:r>
        <w:rPr/>
        <w:t>Section 105A of the </w:t>
      </w:r>
      <w:r>
        <w:rPr>
          <w:i/>
        </w:rPr>
        <w:t>Customs Act 1901 </w:t>
      </w:r>
      <w:r>
        <w:rPr/>
        <w:t>requires that imported brandy, rum or whisky must be matured in wood for a minimum of two years before delivery from Customs control. This covers all such beverages classified under tariff classifications 2208.20.10, 2208.30.00 and 2208.40.00.</w:t>
      </w:r>
    </w:p>
    <w:p>
      <w:pPr>
        <w:pStyle w:val="BodyText"/>
      </w:pPr>
    </w:p>
    <w:p>
      <w:pPr>
        <w:pStyle w:val="BodyText"/>
        <w:spacing w:before="1"/>
        <w:ind w:left="1587" w:right="1621"/>
      </w:pPr>
      <w:r>
        <w:rPr/>
        <w:t>The Australian Customs Service (Customs) will accept evidence of the maturation of imported brandy, whisky, and rum from a government approved authority in the country of origin. The evidence should be in the form of a certification (either in documentary or electronic form) from the approved authority confirming the maturation period and country of origin as well as identifying the consignment by reference to the supplier, final consignee, description and quantity and any other distinguishing features.</w:t>
      </w:r>
    </w:p>
    <w:p>
      <w:pPr>
        <w:pStyle w:val="BodyText"/>
        <w:spacing w:before="10"/>
        <w:rPr>
          <w:sz w:val="19"/>
        </w:rPr>
      </w:pPr>
    </w:p>
    <w:p>
      <w:pPr>
        <w:pStyle w:val="BodyText"/>
        <w:ind w:left="1587" w:right="1566" w:hanging="1"/>
      </w:pPr>
      <w:r>
        <w:rPr/>
        <w:t>Attached to this ACN is a </w:t>
      </w:r>
      <w:hyperlink w:history="true" w:anchor="_bookmark0">
        <w:r>
          <w:rPr>
            <w:color w:val="0000FF"/>
            <w:u w:val="single" w:color="0000FF"/>
          </w:rPr>
          <w:t>listing</w:t>
        </w:r>
        <w:r>
          <w:rPr>
            <w:color w:val="0000FF"/>
          </w:rPr>
          <w:t> </w:t>
        </w:r>
      </w:hyperlink>
      <w:r>
        <w:rPr/>
        <w:t>of those government approved authorities from which Customs will accept certification for imports of brandy, rum or whisky produced in their respective countries. In the absence of a reference to an approved authority for a specific country of origin, then Customs will accept maturation certification from the customs and excise authority in that country.</w:t>
      </w:r>
    </w:p>
    <w:p>
      <w:pPr>
        <w:pStyle w:val="BodyText"/>
      </w:pPr>
    </w:p>
    <w:p>
      <w:pPr>
        <w:pStyle w:val="BodyText"/>
        <w:ind w:left="1587" w:right="1621"/>
      </w:pPr>
      <w:r>
        <w:rPr/>
        <w:t>If an importer cannot provide an authorised certification for imported brandy, rum or whisky then the goods will not be cleared from Customs control. This requirement applies to goods entered directly into home consumption as well as those entered from a warehouse. It is the responsibility of all importers of brandy, rum or whisky to be aware of the requirements to clear the goods from Customs control.</w:t>
      </w:r>
    </w:p>
    <w:p>
      <w:pPr>
        <w:pStyle w:val="BodyText"/>
      </w:pPr>
    </w:p>
    <w:p>
      <w:pPr>
        <w:pStyle w:val="BodyText"/>
        <w:ind w:left="1587" w:right="1698"/>
      </w:pPr>
      <w:r>
        <w:rPr/>
        <w:t>For queries concerning this ACN, please contact the Customs Information and Support Centre on 1300 363 263.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587" w:right="8219"/>
      </w:pPr>
      <w:r>
        <w:rPr/>
        <w:t>Matthew Corkhill National Manager Cargo Operations CANBERRA ACT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1"/>
        </w:rPr>
      </w:pPr>
      <w:r>
        <w:rPr/>
        <w:drawing>
          <wp:anchor distT="0" distB="0" distL="0" distR="0" allowOverlap="1" layoutInCell="1" locked="0" behindDoc="0" simplePos="0" relativeHeight="0">
            <wp:simplePos x="0" y="0"/>
            <wp:positionH relativeFrom="page">
              <wp:posOffset>5456681</wp:posOffset>
            </wp:positionH>
            <wp:positionV relativeFrom="paragraph">
              <wp:posOffset>106706</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rPr>
          <w:sz w:val="11"/>
        </w:rPr>
        <w:sectPr>
          <w:type w:val="continuous"/>
          <w:pgSz w:w="11910" w:h="16840"/>
          <w:pgMar w:top="860" w:bottom="280" w:left="0" w:right="0"/>
        </w:sectPr>
      </w:pPr>
    </w:p>
    <w:p>
      <w:pPr>
        <w:spacing w:before="78"/>
        <w:ind w:left="2102" w:right="2047" w:firstLine="0"/>
        <w:jc w:val="center"/>
        <w:rPr>
          <w:b/>
          <w:sz w:val="32"/>
        </w:rPr>
      </w:pPr>
      <w:r>
        <w:rPr/>
        <w:pict>
          <v:shapetype id="_x0000_t202" o:spt="202" coordsize="21600,21600" path="m,l,21600r21600,l21600,xe">
            <v:stroke joinstyle="miter"/>
            <v:path gradientshapeok="t" o:connecttype="rect"/>
          </v:shapetype>
          <v:shape style="position:absolute;margin-left:118.160301pt;margin-top:358.908569pt;width:352.45pt;height:46.1pt;mso-position-horizontal-relative:page;mso-position-vertical-relative:page;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9"/>
                  </w:tblGrid>
                  <w:tr>
                    <w:trPr>
                      <w:trHeight w:val="227" w:hRule="atLeast"/>
                    </w:trPr>
                    <w:tc>
                      <w:tcPr>
                        <w:tcW w:w="7049" w:type="dxa"/>
                      </w:tcPr>
                      <w:p>
                        <w:pPr>
                          <w:pStyle w:val="TableParagraph"/>
                          <w:ind w:left="0"/>
                          <w:rPr>
                            <w:rFonts w:ascii="Times New Roman"/>
                            <w:sz w:val="16"/>
                          </w:rPr>
                        </w:pPr>
                      </w:p>
                    </w:tc>
                  </w:tr>
                  <w:tr>
                    <w:trPr>
                      <w:trHeight w:val="694" w:hRule="atLeast"/>
                    </w:trPr>
                    <w:tc>
                      <w:tcPr>
                        <w:tcW w:w="7049" w:type="dxa"/>
                      </w:tcPr>
                      <w:p>
                        <w:pPr>
                          <w:pStyle w:val="TableParagraph"/>
                          <w:ind w:left="0"/>
                          <w:rPr>
                            <w:rFonts w:ascii="Times New Roman"/>
                            <w:sz w:val="20"/>
                          </w:rPr>
                        </w:pPr>
                      </w:p>
                    </w:tc>
                  </w:tr>
                </w:tbl>
                <w:p>
                  <w:pPr>
                    <w:pStyle w:val="BodyText"/>
                  </w:pPr>
                </w:p>
              </w:txbxContent>
            </v:textbox>
            <w10:wrap type="none"/>
          </v:shape>
        </w:pict>
      </w:r>
      <w:r>
        <w:rPr/>
        <w:pict>
          <v:shape style="position:absolute;margin-left:100.160004pt;margin-top:567.888672pt;width:351.3pt;height:46.1pt;mso-position-horizontal-relative:page;mso-position-vertical-relative:page;z-index:15730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5"/>
                  </w:tblGrid>
                  <w:tr>
                    <w:trPr>
                      <w:trHeight w:val="227" w:hRule="atLeast"/>
                    </w:trPr>
                    <w:tc>
                      <w:tcPr>
                        <w:tcW w:w="7025" w:type="dxa"/>
                      </w:tcPr>
                      <w:p>
                        <w:pPr>
                          <w:pStyle w:val="TableParagraph"/>
                          <w:ind w:left="0"/>
                          <w:rPr>
                            <w:rFonts w:ascii="Times New Roman"/>
                            <w:sz w:val="16"/>
                          </w:rPr>
                        </w:pPr>
                      </w:p>
                    </w:tc>
                  </w:tr>
                  <w:tr>
                    <w:trPr>
                      <w:trHeight w:val="694" w:hRule="atLeast"/>
                    </w:trPr>
                    <w:tc>
                      <w:tcPr>
                        <w:tcW w:w="7025" w:type="dxa"/>
                      </w:tcPr>
                      <w:p>
                        <w:pPr>
                          <w:pStyle w:val="TableParagraph"/>
                          <w:ind w:left="0"/>
                          <w:rPr>
                            <w:rFonts w:ascii="Times New Roman"/>
                            <w:sz w:val="20"/>
                          </w:rPr>
                        </w:pPr>
                      </w:p>
                    </w:tc>
                  </w:tr>
                </w:tbl>
                <w:p>
                  <w:pPr>
                    <w:pStyle w:val="BodyText"/>
                  </w:pPr>
                </w:p>
              </w:txbxContent>
            </v:textbox>
            <w10:wrap type="none"/>
          </v:shape>
        </w:pict>
      </w:r>
      <w:bookmarkStart w:name="12 JULY 2007  LIST OF GOVERNMENT APPROVE" w:id="1"/>
      <w:bookmarkEnd w:id="1"/>
      <w:r>
        <w:rPr/>
      </w:r>
      <w:bookmarkStart w:name="_bookmark0" w:id="2"/>
      <w:bookmarkEnd w:id="2"/>
      <w:r>
        <w:rPr/>
      </w:r>
      <w:r>
        <w:rPr>
          <w:b/>
          <w:spacing w:val="19"/>
          <w:sz w:val="32"/>
        </w:rPr>
        <w:t>12  JU LY</w:t>
      </w:r>
      <w:r>
        <w:rPr>
          <w:b/>
          <w:spacing w:val="-36"/>
          <w:sz w:val="32"/>
        </w:rPr>
        <w:t> </w:t>
      </w:r>
      <w:r>
        <w:rPr>
          <w:b/>
          <w:spacing w:val="29"/>
          <w:sz w:val="32"/>
        </w:rPr>
        <w:t>2007</w:t>
      </w:r>
      <w:r>
        <w:rPr>
          <w:b/>
          <w:spacing w:val="-50"/>
          <w:sz w:val="32"/>
        </w:rPr>
        <w:t> </w:t>
      </w:r>
    </w:p>
    <w:p>
      <w:pPr>
        <w:pStyle w:val="BodyText"/>
        <w:rPr>
          <w:b/>
          <w:sz w:val="32"/>
        </w:rPr>
      </w:pPr>
    </w:p>
    <w:p>
      <w:pPr>
        <w:spacing w:before="0"/>
        <w:ind w:left="2105" w:right="2047" w:firstLine="0"/>
        <w:jc w:val="center"/>
        <w:rPr>
          <w:b/>
          <w:sz w:val="32"/>
        </w:rPr>
      </w:pPr>
      <w:r>
        <w:rPr>
          <w:b/>
          <w:spacing w:val="29"/>
          <w:sz w:val="32"/>
        </w:rPr>
        <w:t>LIST </w:t>
      </w:r>
      <w:r>
        <w:rPr>
          <w:b/>
          <w:spacing w:val="19"/>
          <w:sz w:val="32"/>
        </w:rPr>
        <w:t>OF </w:t>
      </w:r>
      <w:r>
        <w:rPr>
          <w:b/>
          <w:spacing w:val="35"/>
          <w:sz w:val="32"/>
        </w:rPr>
        <w:t>GOVERNMENT</w:t>
      </w:r>
      <w:r>
        <w:rPr>
          <w:b/>
          <w:spacing w:val="-36"/>
          <w:sz w:val="32"/>
        </w:rPr>
        <w:t> </w:t>
      </w:r>
      <w:r>
        <w:rPr>
          <w:b/>
          <w:spacing w:val="34"/>
          <w:sz w:val="32"/>
        </w:rPr>
        <w:t>APPROVED</w:t>
      </w:r>
      <w:r>
        <w:rPr>
          <w:b/>
          <w:spacing w:val="-50"/>
          <w:sz w:val="32"/>
        </w:rPr>
        <w:t> </w:t>
      </w:r>
    </w:p>
    <w:p>
      <w:pPr>
        <w:spacing w:before="1"/>
        <w:ind w:left="2106" w:right="2047" w:firstLine="0"/>
        <w:jc w:val="center"/>
        <w:rPr>
          <w:b/>
          <w:sz w:val="32"/>
        </w:rPr>
      </w:pPr>
      <w:r>
        <w:rPr>
          <w:b/>
          <w:spacing w:val="35"/>
          <w:sz w:val="32"/>
        </w:rPr>
        <w:t>AUTHORITIES </w:t>
      </w:r>
      <w:r>
        <w:rPr>
          <w:b/>
          <w:spacing w:val="26"/>
          <w:sz w:val="32"/>
        </w:rPr>
        <w:t>FOR </w:t>
      </w:r>
      <w:r>
        <w:rPr>
          <w:b/>
          <w:spacing w:val="33"/>
          <w:sz w:val="32"/>
        </w:rPr>
        <w:t>ISSUING </w:t>
      </w:r>
      <w:r>
        <w:rPr>
          <w:b/>
          <w:spacing w:val="35"/>
          <w:sz w:val="32"/>
        </w:rPr>
        <w:t>MATURATION CERTIFICATES </w:t>
      </w:r>
      <w:r>
        <w:rPr>
          <w:b/>
          <w:spacing w:val="26"/>
          <w:sz w:val="32"/>
        </w:rPr>
        <w:t>FOR </w:t>
      </w:r>
      <w:r>
        <w:rPr>
          <w:b/>
          <w:spacing w:val="33"/>
          <w:sz w:val="32"/>
        </w:rPr>
        <w:t>BRANDY, </w:t>
      </w:r>
      <w:r>
        <w:rPr>
          <w:b/>
          <w:spacing w:val="26"/>
          <w:sz w:val="32"/>
        </w:rPr>
        <w:t>RUM</w:t>
      </w:r>
      <w:r>
        <w:rPr>
          <w:b/>
          <w:spacing w:val="123"/>
          <w:sz w:val="32"/>
        </w:rPr>
        <w:t> </w:t>
      </w:r>
      <w:r>
        <w:rPr>
          <w:b/>
          <w:spacing w:val="19"/>
          <w:sz w:val="32"/>
        </w:rPr>
        <w:t>OR</w:t>
      </w:r>
      <w:r>
        <w:rPr>
          <w:b/>
          <w:spacing w:val="-50"/>
          <w:sz w:val="32"/>
        </w:rPr>
        <w:t> </w:t>
      </w:r>
    </w:p>
    <w:p>
      <w:pPr>
        <w:spacing w:line="368" w:lineRule="exact" w:before="0"/>
        <w:ind w:left="2105" w:right="2047" w:firstLine="0"/>
        <w:jc w:val="center"/>
        <w:rPr>
          <w:b/>
          <w:sz w:val="32"/>
        </w:rPr>
      </w:pPr>
      <w:r>
        <w:rPr>
          <w:b/>
          <w:sz w:val="32"/>
        </w:rPr>
        <w:t>WHISKY </w:t>
      </w:r>
    </w:p>
    <w:p>
      <w:pPr>
        <w:pStyle w:val="BodyText"/>
        <w:spacing w:before="3"/>
        <w:rPr>
          <w:b/>
          <w:sz w:val="25"/>
        </w:rPr>
      </w:pPr>
    </w:p>
    <w:tbl>
      <w:tblPr>
        <w:tblW w:w="0" w:type="auto"/>
        <w:jc w:val="left"/>
        <w:tblInd w:w="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6"/>
        <w:gridCol w:w="9690"/>
      </w:tblGrid>
      <w:tr>
        <w:trPr>
          <w:trHeight w:val="460" w:hRule="atLeast"/>
        </w:trPr>
        <w:tc>
          <w:tcPr>
            <w:tcW w:w="1336" w:type="dxa"/>
          </w:tcPr>
          <w:p>
            <w:pPr>
              <w:pStyle w:val="TableParagraph"/>
              <w:spacing w:line="230" w:lineRule="exact" w:before="1"/>
              <w:ind w:left="138" w:right="112" w:firstLine="22"/>
              <w:rPr>
                <w:b/>
                <w:sz w:val="20"/>
              </w:rPr>
            </w:pPr>
            <w:r>
              <w:rPr>
                <w:b/>
                <w:sz w:val="20"/>
              </w:rPr>
              <w:t>Country of Production</w:t>
            </w:r>
          </w:p>
        </w:tc>
        <w:tc>
          <w:tcPr>
            <w:tcW w:w="9690" w:type="dxa"/>
          </w:tcPr>
          <w:p>
            <w:pPr>
              <w:pStyle w:val="TableParagraph"/>
              <w:spacing w:line="228" w:lineRule="exact"/>
              <w:ind w:left="3183" w:right="3178"/>
              <w:jc w:val="center"/>
              <w:rPr>
                <w:b/>
                <w:sz w:val="20"/>
              </w:rPr>
            </w:pPr>
            <w:r>
              <w:rPr>
                <w:b/>
                <w:sz w:val="20"/>
              </w:rPr>
              <w:t>Government Approved Authorities</w:t>
            </w:r>
          </w:p>
        </w:tc>
      </w:tr>
      <w:tr>
        <w:trPr>
          <w:trHeight w:val="759" w:hRule="atLeast"/>
        </w:trPr>
        <w:tc>
          <w:tcPr>
            <w:tcW w:w="1336" w:type="dxa"/>
          </w:tcPr>
          <w:p>
            <w:pPr>
              <w:pStyle w:val="TableParagraph"/>
              <w:spacing w:before="7"/>
              <w:ind w:left="0"/>
              <w:rPr>
                <w:b/>
                <w:sz w:val="20"/>
              </w:rPr>
            </w:pPr>
          </w:p>
          <w:p>
            <w:pPr>
              <w:pStyle w:val="TableParagraph"/>
              <w:ind w:left="212" w:right="203"/>
              <w:jc w:val="center"/>
              <w:rPr>
                <w:b/>
                <w:sz w:val="20"/>
              </w:rPr>
            </w:pPr>
            <w:bookmarkStart w:name="Austria" w:id="3"/>
            <w:bookmarkEnd w:id="3"/>
            <w:r>
              <w:rPr/>
            </w:r>
            <w:r>
              <w:rPr>
                <w:b/>
                <w:sz w:val="20"/>
              </w:rPr>
              <w:t>Austria</w:t>
            </w:r>
          </w:p>
        </w:tc>
        <w:tc>
          <w:tcPr>
            <w:tcW w:w="9690" w:type="dxa"/>
          </w:tcPr>
          <w:p>
            <w:pPr>
              <w:pStyle w:val="TableParagraph"/>
              <w:spacing w:line="226" w:lineRule="exact"/>
              <w:rPr>
                <w:sz w:val="20"/>
              </w:rPr>
            </w:pPr>
            <w:r>
              <w:rPr>
                <w:sz w:val="20"/>
              </w:rPr>
              <w:t>The Austrian Chamber of Commerce</w:t>
            </w:r>
          </w:p>
          <w:p>
            <w:pPr>
              <w:pStyle w:val="TableParagraph"/>
              <w:rPr>
                <w:sz w:val="20"/>
              </w:rPr>
            </w:pPr>
            <w:r>
              <w:rPr>
                <w:sz w:val="20"/>
              </w:rPr>
              <w:t>Address: Zaunergasse 1 – 3 1030 Vienna Austria. </w:t>
            </w:r>
            <w:hyperlink r:id="rId7">
              <w:r>
                <w:rPr>
                  <w:color w:val="0000FF"/>
                  <w:sz w:val="20"/>
                  <w:u w:val="single" w:color="0000FF"/>
                </w:rPr>
                <w:t>www.dielebensmittel.at</w:t>
              </w:r>
            </w:hyperlink>
          </w:p>
        </w:tc>
      </w:tr>
      <w:tr>
        <w:trPr>
          <w:trHeight w:val="827" w:hRule="atLeast"/>
        </w:trPr>
        <w:tc>
          <w:tcPr>
            <w:tcW w:w="1336" w:type="dxa"/>
          </w:tcPr>
          <w:p>
            <w:pPr>
              <w:pStyle w:val="TableParagraph"/>
              <w:spacing w:before="8"/>
              <w:ind w:left="0"/>
              <w:rPr>
                <w:b/>
                <w:sz w:val="20"/>
              </w:rPr>
            </w:pPr>
          </w:p>
          <w:p>
            <w:pPr>
              <w:pStyle w:val="TableParagraph"/>
              <w:ind w:left="210" w:right="203"/>
              <w:jc w:val="center"/>
              <w:rPr>
                <w:b/>
                <w:sz w:val="20"/>
              </w:rPr>
            </w:pPr>
            <w:bookmarkStart w:name="Brazil" w:id="4"/>
            <w:bookmarkEnd w:id="4"/>
            <w:r>
              <w:rPr/>
            </w:r>
            <w:r>
              <w:rPr>
                <w:b/>
                <w:sz w:val="20"/>
              </w:rPr>
              <w:t>Brazil</w:t>
            </w:r>
          </w:p>
        </w:tc>
        <w:tc>
          <w:tcPr>
            <w:tcW w:w="9690" w:type="dxa"/>
          </w:tcPr>
          <w:p>
            <w:pPr>
              <w:pStyle w:val="TableParagraph"/>
              <w:ind w:right="302"/>
              <w:rPr>
                <w:rFonts w:ascii="Times New Roman" w:hAnsi="Times New Roman"/>
                <w:sz w:val="24"/>
              </w:rPr>
            </w:pPr>
            <w:r>
              <w:rPr>
                <w:rFonts w:ascii="Times New Roman" w:hAnsi="Times New Roman"/>
                <w:sz w:val="24"/>
              </w:rPr>
              <w:t>Brazilian Ministry of Agriculture (Ministério da Agricultura, Pecuária e Abastecimento-MAPA) </w:t>
            </w:r>
            <w:hyperlink r:id="rId8">
              <w:r>
                <w:rPr>
                  <w:rFonts w:ascii="Times New Roman" w:hAnsi="Times New Roman"/>
                  <w:color w:val="0000FF"/>
                  <w:sz w:val="24"/>
                  <w:u w:val="single" w:color="0000FF"/>
                </w:rPr>
                <w:t>www.agricultura.gov.br</w:t>
              </w:r>
            </w:hyperlink>
          </w:p>
        </w:tc>
      </w:tr>
      <w:tr>
        <w:trPr>
          <w:trHeight w:val="2069" w:hRule="atLeast"/>
        </w:trPr>
        <w:tc>
          <w:tcPr>
            <w:tcW w:w="1336" w:type="dxa"/>
          </w:tcPr>
          <w:p>
            <w:pPr>
              <w:pStyle w:val="TableParagraph"/>
              <w:spacing w:before="8"/>
              <w:ind w:left="0"/>
              <w:rPr>
                <w:b/>
                <w:sz w:val="20"/>
              </w:rPr>
            </w:pPr>
          </w:p>
          <w:p>
            <w:pPr>
              <w:pStyle w:val="TableParagraph"/>
              <w:ind w:left="211" w:right="203"/>
              <w:jc w:val="center"/>
              <w:rPr>
                <w:b/>
                <w:sz w:val="20"/>
              </w:rPr>
            </w:pPr>
            <w:bookmarkStart w:name="Bulgaria" w:id="5"/>
            <w:bookmarkEnd w:id="5"/>
            <w:r>
              <w:rPr/>
            </w:r>
            <w:r>
              <w:rPr>
                <w:b/>
                <w:sz w:val="20"/>
              </w:rPr>
              <w:t>Bulgaria</w:t>
            </w:r>
          </w:p>
        </w:tc>
        <w:tc>
          <w:tcPr>
            <w:tcW w:w="9690" w:type="dxa"/>
          </w:tcPr>
          <w:p>
            <w:pPr>
              <w:pStyle w:val="TableParagraph"/>
              <w:ind w:right="570"/>
              <w:rPr>
                <w:sz w:val="20"/>
              </w:rPr>
            </w:pPr>
            <w:r>
              <w:rPr>
                <w:sz w:val="20"/>
              </w:rPr>
              <w:t>Laboratories approved by the Bulgarian Accreditation Service at the Ministry of Economy and Energy, being:</w:t>
            </w:r>
          </w:p>
          <w:p>
            <w:pPr>
              <w:pStyle w:val="TableParagraph"/>
              <w:numPr>
                <w:ilvl w:val="0"/>
                <w:numId w:val="1"/>
              </w:numPr>
              <w:tabs>
                <w:tab w:pos="828" w:val="left" w:leader="none"/>
              </w:tabs>
              <w:spacing w:line="240" w:lineRule="auto" w:before="0" w:after="0"/>
              <w:ind w:left="827" w:right="2506" w:hanging="360"/>
              <w:jc w:val="left"/>
              <w:rPr>
                <w:sz w:val="20"/>
              </w:rPr>
            </w:pPr>
            <w:r>
              <w:rPr>
                <w:sz w:val="20"/>
              </w:rPr>
              <w:t>Laboratory</w:t>
            </w:r>
            <w:r>
              <w:rPr>
                <w:spacing w:val="-6"/>
                <w:sz w:val="20"/>
              </w:rPr>
              <w:t> </w:t>
            </w:r>
            <w:r>
              <w:rPr>
                <w:sz w:val="20"/>
              </w:rPr>
              <w:t>at</w:t>
            </w:r>
            <w:r>
              <w:rPr>
                <w:spacing w:val="-5"/>
                <w:sz w:val="20"/>
              </w:rPr>
              <w:t> </w:t>
            </w:r>
            <w:r>
              <w:rPr>
                <w:sz w:val="20"/>
              </w:rPr>
              <w:t>the</w:t>
            </w:r>
            <w:r>
              <w:rPr>
                <w:spacing w:val="-5"/>
                <w:sz w:val="20"/>
              </w:rPr>
              <w:t> </w:t>
            </w:r>
            <w:r>
              <w:rPr>
                <w:sz w:val="20"/>
              </w:rPr>
              <w:t>National</w:t>
            </w:r>
            <w:r>
              <w:rPr>
                <w:spacing w:val="-6"/>
                <w:sz w:val="20"/>
              </w:rPr>
              <w:t> </w:t>
            </w:r>
            <w:r>
              <w:rPr>
                <w:sz w:val="20"/>
              </w:rPr>
              <w:t>Wine</w:t>
            </w:r>
            <w:r>
              <w:rPr>
                <w:spacing w:val="-5"/>
                <w:sz w:val="20"/>
              </w:rPr>
              <w:t> </w:t>
            </w:r>
            <w:r>
              <w:rPr>
                <w:sz w:val="20"/>
              </w:rPr>
              <w:t>and</w:t>
            </w:r>
            <w:r>
              <w:rPr>
                <w:spacing w:val="-5"/>
                <w:sz w:val="20"/>
              </w:rPr>
              <w:t> </w:t>
            </w:r>
            <w:r>
              <w:rPr>
                <w:sz w:val="20"/>
              </w:rPr>
              <w:t>Spirit</w:t>
            </w:r>
            <w:r>
              <w:rPr>
                <w:spacing w:val="-5"/>
                <w:sz w:val="20"/>
              </w:rPr>
              <w:t> </w:t>
            </w:r>
            <w:r>
              <w:rPr>
                <w:sz w:val="20"/>
              </w:rPr>
              <w:t>beverages</w:t>
            </w:r>
            <w:r>
              <w:rPr>
                <w:spacing w:val="-4"/>
                <w:sz w:val="20"/>
              </w:rPr>
              <w:t> </w:t>
            </w:r>
            <w:r>
              <w:rPr>
                <w:sz w:val="20"/>
              </w:rPr>
              <w:t>research</w:t>
            </w:r>
            <w:r>
              <w:rPr>
                <w:spacing w:val="-5"/>
                <w:sz w:val="20"/>
              </w:rPr>
              <w:t> </w:t>
            </w:r>
            <w:r>
              <w:rPr>
                <w:sz w:val="20"/>
              </w:rPr>
              <w:t>Institute. Address: 134 Tzar Boris III Blvd Sofia 1618</w:t>
            </w:r>
            <w:r>
              <w:rPr>
                <w:spacing w:val="-14"/>
                <w:sz w:val="20"/>
              </w:rPr>
              <w:t> </w:t>
            </w:r>
            <w:r>
              <w:rPr>
                <w:sz w:val="20"/>
              </w:rPr>
              <w:t>Bulgaria.</w:t>
            </w:r>
          </w:p>
          <w:p>
            <w:pPr>
              <w:pStyle w:val="TableParagraph"/>
              <w:numPr>
                <w:ilvl w:val="0"/>
                <w:numId w:val="1"/>
              </w:numPr>
              <w:tabs>
                <w:tab w:pos="828" w:val="left" w:leader="none"/>
              </w:tabs>
              <w:spacing w:line="230" w:lineRule="exact" w:before="0" w:after="0"/>
              <w:ind w:left="827" w:right="0" w:hanging="361"/>
              <w:jc w:val="left"/>
              <w:rPr>
                <w:sz w:val="20"/>
              </w:rPr>
            </w:pPr>
            <w:r>
              <w:rPr>
                <w:sz w:val="20"/>
              </w:rPr>
              <w:t>Laboratory at the “Black Sea Gold” AD –</w:t>
            </w:r>
            <w:r>
              <w:rPr>
                <w:spacing w:val="-11"/>
                <w:sz w:val="20"/>
              </w:rPr>
              <w:t> </w:t>
            </w:r>
            <w:r>
              <w:rPr>
                <w:sz w:val="20"/>
              </w:rPr>
              <w:t>Pomorie.</w:t>
            </w:r>
          </w:p>
          <w:p>
            <w:pPr>
              <w:pStyle w:val="TableParagraph"/>
              <w:spacing w:line="230" w:lineRule="exact"/>
              <w:ind w:left="827"/>
              <w:rPr>
                <w:sz w:val="20"/>
              </w:rPr>
            </w:pPr>
            <w:r>
              <w:rPr>
                <w:sz w:val="20"/>
              </w:rPr>
              <w:t>Address: 8200 Pomorie PO Box 16 Bulgaria. </w:t>
            </w:r>
            <w:hyperlink r:id="rId9">
              <w:r>
                <w:rPr>
                  <w:color w:val="0000FF"/>
                  <w:sz w:val="20"/>
                  <w:u w:val="single" w:color="0000FF"/>
                </w:rPr>
                <w:t>www.bsgold.bg</w:t>
              </w:r>
            </w:hyperlink>
          </w:p>
          <w:p>
            <w:pPr>
              <w:pStyle w:val="TableParagraph"/>
              <w:numPr>
                <w:ilvl w:val="0"/>
                <w:numId w:val="1"/>
              </w:numPr>
              <w:tabs>
                <w:tab w:pos="828" w:val="left" w:leader="none"/>
              </w:tabs>
              <w:spacing w:line="240" w:lineRule="auto" w:before="0" w:after="0"/>
              <w:ind w:left="827" w:right="2561" w:hanging="360"/>
              <w:jc w:val="left"/>
              <w:rPr>
                <w:sz w:val="20"/>
              </w:rPr>
            </w:pPr>
            <w:r>
              <w:rPr>
                <w:sz w:val="20"/>
              </w:rPr>
              <w:t>Complex</w:t>
            </w:r>
            <w:r>
              <w:rPr>
                <w:spacing w:val="-5"/>
                <w:sz w:val="20"/>
              </w:rPr>
              <w:t> </w:t>
            </w:r>
            <w:r>
              <w:rPr>
                <w:sz w:val="20"/>
              </w:rPr>
              <w:t>Center</w:t>
            </w:r>
            <w:r>
              <w:rPr>
                <w:spacing w:val="-4"/>
                <w:sz w:val="20"/>
              </w:rPr>
              <w:t> </w:t>
            </w:r>
            <w:r>
              <w:rPr>
                <w:sz w:val="20"/>
              </w:rPr>
              <w:t>for</w:t>
            </w:r>
            <w:r>
              <w:rPr>
                <w:spacing w:val="-4"/>
                <w:sz w:val="20"/>
              </w:rPr>
              <w:t> </w:t>
            </w:r>
            <w:r>
              <w:rPr>
                <w:sz w:val="20"/>
              </w:rPr>
              <w:t>Testing</w:t>
            </w:r>
            <w:r>
              <w:rPr>
                <w:spacing w:val="-4"/>
                <w:sz w:val="20"/>
              </w:rPr>
              <w:t> </w:t>
            </w:r>
            <w:r>
              <w:rPr>
                <w:sz w:val="20"/>
              </w:rPr>
              <w:t>and</w:t>
            </w:r>
            <w:r>
              <w:rPr>
                <w:spacing w:val="-4"/>
                <w:sz w:val="20"/>
              </w:rPr>
              <w:t> </w:t>
            </w:r>
            <w:r>
              <w:rPr>
                <w:sz w:val="20"/>
              </w:rPr>
              <w:t>Calibration</w:t>
            </w:r>
            <w:r>
              <w:rPr>
                <w:spacing w:val="-5"/>
                <w:sz w:val="20"/>
              </w:rPr>
              <w:t> </w:t>
            </w:r>
            <w:r>
              <w:rPr>
                <w:sz w:val="20"/>
              </w:rPr>
              <w:t>at</w:t>
            </w:r>
            <w:r>
              <w:rPr>
                <w:spacing w:val="-4"/>
                <w:sz w:val="20"/>
              </w:rPr>
              <w:t> </w:t>
            </w:r>
            <w:r>
              <w:rPr>
                <w:sz w:val="20"/>
              </w:rPr>
              <w:t>Loviko</w:t>
            </w:r>
            <w:r>
              <w:rPr>
                <w:spacing w:val="-5"/>
                <w:sz w:val="20"/>
              </w:rPr>
              <w:t> </w:t>
            </w:r>
            <w:r>
              <w:rPr>
                <w:sz w:val="20"/>
              </w:rPr>
              <w:t>OOD</w:t>
            </w:r>
            <w:r>
              <w:rPr>
                <w:spacing w:val="-4"/>
                <w:sz w:val="20"/>
              </w:rPr>
              <w:t> </w:t>
            </w:r>
            <w:r>
              <w:rPr>
                <w:sz w:val="20"/>
              </w:rPr>
              <w:t>–</w:t>
            </w:r>
            <w:r>
              <w:rPr>
                <w:spacing w:val="-4"/>
                <w:sz w:val="20"/>
              </w:rPr>
              <w:t> </w:t>
            </w:r>
            <w:r>
              <w:rPr>
                <w:sz w:val="20"/>
              </w:rPr>
              <w:t>Pavlikeni. Address: 5200 Pavlikeni 57 Atanas Hdjislavchev str</w:t>
            </w:r>
            <w:r>
              <w:rPr>
                <w:spacing w:val="-20"/>
                <w:sz w:val="20"/>
              </w:rPr>
              <w:t> </w:t>
            </w:r>
            <w:r>
              <w:rPr>
                <w:sz w:val="20"/>
              </w:rPr>
              <w:t>Bulgaria.</w:t>
            </w:r>
          </w:p>
        </w:tc>
      </w:tr>
      <w:tr>
        <w:trPr>
          <w:trHeight w:val="690" w:hRule="atLeast"/>
        </w:trPr>
        <w:tc>
          <w:tcPr>
            <w:tcW w:w="1336" w:type="dxa"/>
          </w:tcPr>
          <w:p>
            <w:pPr>
              <w:pStyle w:val="TableParagraph"/>
              <w:spacing w:line="228" w:lineRule="exact"/>
              <w:ind w:left="211" w:right="203"/>
              <w:jc w:val="center"/>
              <w:rPr>
                <w:b/>
                <w:sz w:val="20"/>
              </w:rPr>
            </w:pPr>
            <w:r>
              <w:rPr>
                <w:b/>
                <w:sz w:val="20"/>
              </w:rPr>
              <w:t>Canada</w:t>
            </w:r>
          </w:p>
        </w:tc>
        <w:tc>
          <w:tcPr>
            <w:tcW w:w="9690" w:type="dxa"/>
          </w:tcPr>
          <w:p>
            <w:pPr>
              <w:pStyle w:val="TableParagraph"/>
              <w:spacing w:line="227" w:lineRule="exact"/>
              <w:rPr>
                <w:sz w:val="20"/>
              </w:rPr>
            </w:pPr>
            <w:r>
              <w:rPr>
                <w:sz w:val="20"/>
              </w:rPr>
              <w:t>Excise Duty Section of Canada Revenue Agency</w:t>
            </w:r>
          </w:p>
          <w:p>
            <w:pPr>
              <w:pStyle w:val="TableParagraph"/>
              <w:tabs>
                <w:tab w:pos="7176" w:val="left" w:leader="none"/>
              </w:tabs>
              <w:rPr>
                <w:sz w:val="20"/>
              </w:rPr>
            </w:pPr>
            <w:r>
              <w:rPr>
                <w:sz w:val="20"/>
              </w:rPr>
              <w:t>Address: International Office: 22 Walkley Road Ottowa ON K1A</w:t>
            </w:r>
            <w:r>
              <w:rPr>
                <w:spacing w:val="-26"/>
                <w:sz w:val="20"/>
              </w:rPr>
              <w:t> </w:t>
            </w:r>
            <w:r>
              <w:rPr>
                <w:sz w:val="20"/>
              </w:rPr>
              <w:t>1A8</w:t>
            </w:r>
            <w:r>
              <w:rPr>
                <w:spacing w:val="-3"/>
                <w:sz w:val="20"/>
              </w:rPr>
              <w:t> </w:t>
            </w:r>
            <w:r>
              <w:rPr>
                <w:sz w:val="20"/>
              </w:rPr>
              <w:t>Canada.</w:t>
              <w:tab/>
            </w:r>
            <w:hyperlink r:id="rId10">
              <w:r>
                <w:rPr>
                  <w:color w:val="0000FF"/>
                  <w:sz w:val="20"/>
                  <w:u w:val="single" w:color="0000FF"/>
                </w:rPr>
                <w:t>www.cra-arc.gc.ca</w:t>
              </w:r>
            </w:hyperlink>
          </w:p>
        </w:tc>
      </w:tr>
      <w:tr>
        <w:trPr>
          <w:trHeight w:val="1149" w:hRule="atLeast"/>
        </w:trPr>
        <w:tc>
          <w:tcPr>
            <w:tcW w:w="1336" w:type="dxa"/>
          </w:tcPr>
          <w:p>
            <w:pPr>
              <w:pStyle w:val="TableParagraph"/>
              <w:spacing w:before="8"/>
              <w:ind w:left="0"/>
              <w:rPr>
                <w:b/>
                <w:sz w:val="20"/>
              </w:rPr>
            </w:pPr>
          </w:p>
          <w:p>
            <w:pPr>
              <w:pStyle w:val="TableParagraph"/>
              <w:ind w:left="211" w:right="203"/>
              <w:jc w:val="center"/>
              <w:rPr>
                <w:b/>
                <w:sz w:val="20"/>
              </w:rPr>
            </w:pPr>
            <w:bookmarkStart w:name="China" w:id="6"/>
            <w:bookmarkEnd w:id="6"/>
            <w:r>
              <w:rPr/>
            </w:r>
            <w:r>
              <w:rPr>
                <w:b/>
                <w:sz w:val="20"/>
              </w:rPr>
              <w:t>China</w:t>
            </w:r>
          </w:p>
        </w:tc>
        <w:tc>
          <w:tcPr>
            <w:tcW w:w="9690" w:type="dxa"/>
          </w:tcPr>
          <w:p>
            <w:pPr>
              <w:pStyle w:val="TableParagraph"/>
              <w:ind w:right="203"/>
              <w:rPr>
                <w:sz w:val="20"/>
              </w:rPr>
            </w:pPr>
            <w:r>
              <w:rPr>
                <w:sz w:val="20"/>
              </w:rPr>
              <w:t>The local Chinese Inspection and Quarantine (CIQs) offices, as branches of the General Administration of Quality Supervision, Inspection and Quarantine (AQSIQ): Entry-Exit Inspection and Quarantine of the People's Republic of China</w:t>
            </w:r>
          </w:p>
          <w:p>
            <w:pPr>
              <w:pStyle w:val="TableParagraph"/>
              <w:spacing w:line="229" w:lineRule="exact"/>
              <w:rPr>
                <w:sz w:val="20"/>
              </w:rPr>
            </w:pPr>
            <w:r>
              <w:rPr>
                <w:sz w:val="20"/>
              </w:rPr>
              <w:t>Address: NO. 9, Madiandonglu, Haidian District, Bejing P.R. C 100088</w:t>
            </w:r>
          </w:p>
        </w:tc>
      </w:tr>
      <w:tr>
        <w:trPr>
          <w:trHeight w:val="689" w:hRule="atLeast"/>
        </w:trPr>
        <w:tc>
          <w:tcPr>
            <w:tcW w:w="1336" w:type="dxa"/>
          </w:tcPr>
          <w:p>
            <w:pPr>
              <w:pStyle w:val="TableParagraph"/>
              <w:spacing w:before="8"/>
              <w:ind w:left="0"/>
              <w:rPr>
                <w:b/>
                <w:sz w:val="20"/>
              </w:rPr>
            </w:pPr>
          </w:p>
          <w:p>
            <w:pPr>
              <w:pStyle w:val="TableParagraph"/>
              <w:ind w:left="211" w:right="203"/>
              <w:jc w:val="center"/>
              <w:rPr>
                <w:b/>
                <w:sz w:val="20"/>
              </w:rPr>
            </w:pPr>
            <w:bookmarkStart w:name="Cyprus" w:id="7"/>
            <w:bookmarkEnd w:id="7"/>
            <w:r>
              <w:rPr/>
            </w:r>
            <w:r>
              <w:rPr>
                <w:b/>
                <w:sz w:val="20"/>
              </w:rPr>
              <w:t>Cyprus</w:t>
            </w:r>
          </w:p>
        </w:tc>
        <w:tc>
          <w:tcPr>
            <w:tcW w:w="9690" w:type="dxa"/>
          </w:tcPr>
          <w:p>
            <w:pPr>
              <w:pStyle w:val="TableParagraph"/>
              <w:spacing w:line="227" w:lineRule="exact"/>
              <w:rPr>
                <w:sz w:val="20"/>
              </w:rPr>
            </w:pPr>
            <w:r>
              <w:rPr>
                <w:sz w:val="20"/>
              </w:rPr>
              <w:t>Wine Products Council</w:t>
            </w:r>
          </w:p>
          <w:p>
            <w:pPr>
              <w:pStyle w:val="TableParagraph"/>
              <w:rPr>
                <w:sz w:val="20"/>
              </w:rPr>
            </w:pPr>
            <w:r>
              <w:rPr>
                <w:sz w:val="20"/>
              </w:rPr>
              <w:t>Address: Petra Business Centre Franklin Roosevelt 86, 3011 Limassol.</w:t>
            </w:r>
          </w:p>
        </w:tc>
      </w:tr>
      <w:tr>
        <w:trPr>
          <w:trHeight w:val="1610" w:hRule="atLeast"/>
        </w:trPr>
        <w:tc>
          <w:tcPr>
            <w:tcW w:w="1336" w:type="dxa"/>
          </w:tcPr>
          <w:p>
            <w:pPr>
              <w:pStyle w:val="TableParagraph"/>
              <w:spacing w:before="8"/>
              <w:ind w:left="0"/>
              <w:rPr>
                <w:b/>
                <w:sz w:val="20"/>
              </w:rPr>
            </w:pPr>
          </w:p>
          <w:p>
            <w:pPr>
              <w:pStyle w:val="TableParagraph"/>
              <w:ind w:left="210" w:right="203"/>
              <w:jc w:val="center"/>
              <w:rPr>
                <w:b/>
                <w:sz w:val="20"/>
              </w:rPr>
            </w:pPr>
            <w:bookmarkStart w:name="France" w:id="8"/>
            <w:bookmarkEnd w:id="8"/>
            <w:r>
              <w:rPr/>
            </w:r>
            <w:r>
              <w:rPr>
                <w:b/>
                <w:sz w:val="20"/>
              </w:rPr>
              <w:t>France</w:t>
            </w:r>
          </w:p>
        </w:tc>
        <w:tc>
          <w:tcPr>
            <w:tcW w:w="9690" w:type="dxa"/>
          </w:tcPr>
          <w:p>
            <w:pPr>
              <w:pStyle w:val="TableParagraph"/>
              <w:spacing w:line="227" w:lineRule="exact"/>
              <w:rPr>
                <w:sz w:val="20"/>
              </w:rPr>
            </w:pPr>
            <w:r>
              <w:rPr>
                <w:sz w:val="20"/>
                <w:u w:val="single"/>
              </w:rPr>
              <w:t>Cognac</w:t>
            </w:r>
            <w:r>
              <w:rPr>
                <w:sz w:val="20"/>
              </w:rPr>
              <w:t>: Bureau Interprofessionel du Cognac (BNIC)</w:t>
            </w:r>
          </w:p>
          <w:p>
            <w:pPr>
              <w:pStyle w:val="TableParagraph"/>
              <w:ind w:right="2104"/>
              <w:rPr>
                <w:sz w:val="20"/>
              </w:rPr>
            </w:pPr>
            <w:r>
              <w:rPr>
                <w:sz w:val="20"/>
              </w:rPr>
              <w:t>Address: 23 Allees du Champ de Mars BP 18-16100 Cognac Cedux. </w:t>
            </w:r>
            <w:hyperlink r:id="rId11">
              <w:r>
                <w:rPr>
                  <w:color w:val="0000FF"/>
                  <w:sz w:val="20"/>
                  <w:u w:val="single" w:color="0000FF"/>
                </w:rPr>
                <w:t>www.cognac.fr</w:t>
              </w:r>
            </w:hyperlink>
            <w:r>
              <w:rPr>
                <w:color w:val="0000FF"/>
                <w:sz w:val="20"/>
              </w:rPr>
              <w:t> </w:t>
            </w:r>
            <w:r>
              <w:rPr>
                <w:sz w:val="20"/>
                <w:u w:val="single"/>
              </w:rPr>
              <w:t>Armagnac</w:t>
            </w:r>
            <w:r>
              <w:rPr>
                <w:sz w:val="20"/>
              </w:rPr>
              <w:t>: Bureau National Interprofesionel de I’Armagnac (BNIA)</w:t>
            </w:r>
          </w:p>
          <w:p>
            <w:pPr>
              <w:pStyle w:val="TableParagraph"/>
              <w:ind w:right="2927"/>
              <w:rPr>
                <w:sz w:val="20"/>
              </w:rPr>
            </w:pPr>
            <w:r>
              <w:rPr>
                <w:sz w:val="20"/>
              </w:rPr>
              <w:t>Address: 11 place de la Liberté - 32800 Eauze – France. </w:t>
            </w:r>
            <w:hyperlink r:id="rId12">
              <w:r>
                <w:rPr>
                  <w:color w:val="0000FF"/>
                  <w:sz w:val="20"/>
                  <w:u w:val="single" w:color="0000FF"/>
                </w:rPr>
                <w:t>www.armagnac.fr</w:t>
              </w:r>
            </w:hyperlink>
            <w:r>
              <w:rPr>
                <w:color w:val="0000FF"/>
                <w:sz w:val="20"/>
              </w:rPr>
              <w:t> </w:t>
            </w:r>
            <w:r>
              <w:rPr>
                <w:sz w:val="20"/>
                <w:u w:val="single"/>
              </w:rPr>
              <w:t>Brandy</w:t>
            </w:r>
            <w:r>
              <w:rPr>
                <w:sz w:val="20"/>
              </w:rPr>
              <w:t>: French Customs</w:t>
            </w:r>
          </w:p>
          <w:p>
            <w:pPr>
              <w:pStyle w:val="TableParagraph"/>
              <w:spacing w:before="1"/>
              <w:rPr>
                <w:sz w:val="20"/>
              </w:rPr>
            </w:pPr>
            <w:hyperlink r:id="rId13">
              <w:r>
                <w:rPr>
                  <w:color w:val="0000FF"/>
                  <w:sz w:val="20"/>
                  <w:u w:val="single" w:color="0000FF"/>
                </w:rPr>
                <w:t>www.douane.gouv.fr</w:t>
              </w:r>
            </w:hyperlink>
          </w:p>
        </w:tc>
      </w:tr>
      <w:tr>
        <w:trPr>
          <w:trHeight w:val="690" w:hRule="atLeast"/>
        </w:trPr>
        <w:tc>
          <w:tcPr>
            <w:tcW w:w="1336" w:type="dxa"/>
          </w:tcPr>
          <w:p>
            <w:pPr>
              <w:pStyle w:val="TableParagraph"/>
              <w:spacing w:line="228" w:lineRule="exact"/>
              <w:ind w:left="214" w:right="203"/>
              <w:jc w:val="center"/>
              <w:rPr>
                <w:b/>
                <w:sz w:val="20"/>
              </w:rPr>
            </w:pPr>
            <w:r>
              <w:rPr>
                <w:b/>
                <w:sz w:val="20"/>
              </w:rPr>
              <w:t>Germany</w:t>
            </w:r>
          </w:p>
        </w:tc>
        <w:tc>
          <w:tcPr>
            <w:tcW w:w="9690" w:type="dxa"/>
          </w:tcPr>
          <w:p>
            <w:pPr>
              <w:pStyle w:val="TableParagraph"/>
              <w:spacing w:line="227" w:lineRule="exact"/>
              <w:rPr>
                <w:sz w:val="20"/>
              </w:rPr>
            </w:pPr>
            <w:r>
              <w:rPr>
                <w:sz w:val="20"/>
              </w:rPr>
              <w:t>Chemisches Labor Dr. Merten GmbH – Zentrale</w:t>
            </w:r>
          </w:p>
          <w:p>
            <w:pPr>
              <w:pStyle w:val="TableParagraph"/>
              <w:rPr>
                <w:sz w:val="20"/>
              </w:rPr>
            </w:pPr>
            <w:r>
              <w:rPr>
                <w:sz w:val="20"/>
              </w:rPr>
              <w:t>Address: Roderstr. 8 – 10 79104 Freiburg/Br. </w:t>
            </w:r>
            <w:hyperlink r:id="rId14">
              <w:r>
                <w:rPr>
                  <w:color w:val="0000FF"/>
                  <w:sz w:val="20"/>
                  <w:u w:val="single" w:color="0000FF"/>
                </w:rPr>
                <w:t>www.labormerten.de</w:t>
              </w:r>
            </w:hyperlink>
          </w:p>
        </w:tc>
      </w:tr>
    </w:tbl>
    <w:p>
      <w:pPr>
        <w:spacing w:after="0"/>
        <w:rPr>
          <w:sz w:val="20"/>
        </w:rPr>
        <w:sectPr>
          <w:pgSz w:w="11910" w:h="16840"/>
          <w:pgMar w:top="1360" w:bottom="280" w:left="0" w:right="0"/>
        </w:sectPr>
      </w:pPr>
    </w:p>
    <w:tbl>
      <w:tblPr>
        <w:tblW w:w="0" w:type="auto"/>
        <w:jc w:val="left"/>
        <w:tblInd w:w="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6"/>
        <w:gridCol w:w="9690"/>
      </w:tblGrid>
      <w:tr>
        <w:trPr>
          <w:trHeight w:val="460" w:hRule="atLeast"/>
        </w:trPr>
        <w:tc>
          <w:tcPr>
            <w:tcW w:w="1336" w:type="dxa"/>
          </w:tcPr>
          <w:p>
            <w:pPr>
              <w:pStyle w:val="TableParagraph"/>
              <w:spacing w:line="230" w:lineRule="exact" w:before="1"/>
              <w:ind w:left="138" w:right="112" w:firstLine="22"/>
              <w:rPr>
                <w:b/>
                <w:sz w:val="20"/>
              </w:rPr>
            </w:pPr>
            <w:r>
              <w:rPr>
                <w:b/>
                <w:sz w:val="20"/>
              </w:rPr>
              <w:t>Country of Production</w:t>
            </w:r>
          </w:p>
        </w:tc>
        <w:tc>
          <w:tcPr>
            <w:tcW w:w="9690" w:type="dxa"/>
          </w:tcPr>
          <w:p>
            <w:pPr>
              <w:pStyle w:val="TableParagraph"/>
              <w:spacing w:line="228" w:lineRule="exact"/>
              <w:ind w:left="3183" w:right="3178"/>
              <w:jc w:val="center"/>
              <w:rPr>
                <w:b/>
                <w:sz w:val="20"/>
              </w:rPr>
            </w:pPr>
            <w:r>
              <w:rPr>
                <w:b/>
                <w:sz w:val="20"/>
              </w:rPr>
              <w:t>Government Approved Authorities</w:t>
            </w:r>
          </w:p>
        </w:tc>
      </w:tr>
      <w:tr>
        <w:trPr>
          <w:trHeight w:val="919" w:hRule="atLeast"/>
        </w:trPr>
        <w:tc>
          <w:tcPr>
            <w:tcW w:w="1336" w:type="dxa"/>
          </w:tcPr>
          <w:p>
            <w:pPr>
              <w:pStyle w:val="TableParagraph"/>
              <w:spacing w:before="7"/>
              <w:ind w:left="0"/>
              <w:rPr>
                <w:b/>
                <w:sz w:val="20"/>
              </w:rPr>
            </w:pPr>
          </w:p>
          <w:p>
            <w:pPr>
              <w:pStyle w:val="TableParagraph"/>
              <w:ind w:left="327"/>
              <w:rPr>
                <w:b/>
                <w:sz w:val="20"/>
              </w:rPr>
            </w:pPr>
            <w:bookmarkStart w:name="Greece" w:id="9"/>
            <w:bookmarkEnd w:id="9"/>
            <w:r>
              <w:rPr/>
            </w:r>
            <w:r>
              <w:rPr>
                <w:b/>
                <w:sz w:val="20"/>
              </w:rPr>
              <w:t>Greece</w:t>
            </w:r>
          </w:p>
        </w:tc>
        <w:tc>
          <w:tcPr>
            <w:tcW w:w="9690" w:type="dxa"/>
          </w:tcPr>
          <w:p>
            <w:pPr>
              <w:pStyle w:val="TableParagraph"/>
              <w:ind w:right="737"/>
              <w:rPr>
                <w:sz w:val="20"/>
              </w:rPr>
            </w:pPr>
            <w:r>
              <w:rPr>
                <w:sz w:val="20"/>
                <w:u w:val="single"/>
              </w:rPr>
              <w:t>Brandy</w:t>
            </w:r>
            <w:r>
              <w:rPr>
                <w:sz w:val="20"/>
              </w:rPr>
              <w:t>: General Directorate of the State Chemical Laboratory Directorate of Alcohol, Wine – Beer – Drinks.</w:t>
            </w:r>
          </w:p>
          <w:p>
            <w:pPr>
              <w:pStyle w:val="TableParagraph"/>
              <w:spacing w:line="230" w:lineRule="exact"/>
              <w:rPr>
                <w:sz w:val="20"/>
              </w:rPr>
            </w:pPr>
            <w:r>
              <w:rPr>
                <w:sz w:val="20"/>
              </w:rPr>
              <w:t>Address: Ethnikis Antistaseos 1, 49100 Corfu.</w:t>
            </w:r>
          </w:p>
        </w:tc>
      </w:tr>
      <w:tr>
        <w:trPr>
          <w:trHeight w:val="2322" w:hRule="atLeast"/>
        </w:trPr>
        <w:tc>
          <w:tcPr>
            <w:tcW w:w="1336" w:type="dxa"/>
          </w:tcPr>
          <w:p>
            <w:pPr>
              <w:pStyle w:val="TableParagraph"/>
              <w:spacing w:before="8"/>
              <w:ind w:left="0"/>
              <w:rPr>
                <w:b/>
                <w:sz w:val="20"/>
              </w:rPr>
            </w:pPr>
          </w:p>
          <w:p>
            <w:pPr>
              <w:pStyle w:val="TableParagraph"/>
              <w:ind w:left="214" w:right="203"/>
              <w:jc w:val="center"/>
              <w:rPr>
                <w:b/>
                <w:sz w:val="20"/>
              </w:rPr>
            </w:pPr>
            <w:bookmarkStart w:name="Italy" w:id="10"/>
            <w:bookmarkEnd w:id="10"/>
            <w:r>
              <w:rPr/>
            </w:r>
            <w:r>
              <w:rPr>
                <w:b/>
                <w:sz w:val="20"/>
              </w:rPr>
              <w:t>Italy</w:t>
            </w:r>
          </w:p>
        </w:tc>
        <w:tc>
          <w:tcPr>
            <w:tcW w:w="9690" w:type="dxa"/>
          </w:tcPr>
          <w:p>
            <w:pPr>
              <w:pStyle w:val="TableParagraph"/>
              <w:ind w:right="81"/>
              <w:rPr>
                <w:sz w:val="22"/>
              </w:rPr>
            </w:pPr>
            <w:r>
              <w:rPr>
                <w:sz w:val="20"/>
              </w:rPr>
              <w:t>Customs Offices in the following cities: Torino, Vercelli, Novara, Alessandria, Genova, La Spezia, Como, Milano, Beramo, Brescia, Trento, Verona, Treviso, Venezia, Padova, Udine, Trieste, Parma, Reggio Emilia, Modena, Bologna, Ferrara, Ancona, Firenze, Livorno, Temi, Roma, Benevento, Napoli, Salerno, Pescara, Bari, Lecce, Catanzaro, Trapani, Palermo, Messina, Catania, Siracusa, Cagliari, Pavia, Biella, Arezzo, Sassari, Porto Empedocle, Pordenone, Gaeta, Savona, Pisa, Avezzano, Prato, Aosta, Mantova, Perugia, Foffia, Imperia, San Benedetto del Tronto, Verbano-Cusio-Ossola, Foril-Cesena, Vicenza, Bolzano, Cuneo, Rimini, Brindlsi, Reggio Calabria, Gloia Tauro, Gorizia, Civitavecchia, Frosinone, Taranto, Caserta, Piacenza, Tirano. </w:t>
            </w:r>
            <w:hyperlink r:id="rId15">
              <w:r>
                <w:rPr>
                  <w:color w:val="0000FF"/>
                  <w:w w:val="95"/>
                  <w:sz w:val="22"/>
                  <w:u w:val="single" w:color="0000FF"/>
                </w:rPr>
                <w:t>http://www.agenziadogane.it/wps/wcm/connect/ed/Agenzia/Uffici/Ricerca+per+zone+geografiche/</w:t>
              </w:r>
            </w:hyperlink>
          </w:p>
        </w:tc>
      </w:tr>
      <w:tr>
        <w:trPr>
          <w:trHeight w:val="459" w:hRule="atLeast"/>
        </w:trPr>
        <w:tc>
          <w:tcPr>
            <w:tcW w:w="1336" w:type="dxa"/>
          </w:tcPr>
          <w:p>
            <w:pPr>
              <w:pStyle w:val="TableParagraph"/>
              <w:spacing w:line="228" w:lineRule="exact"/>
              <w:ind w:left="377"/>
              <w:rPr>
                <w:b/>
                <w:sz w:val="20"/>
              </w:rPr>
            </w:pPr>
            <w:r>
              <w:rPr>
                <w:b/>
                <w:sz w:val="20"/>
              </w:rPr>
              <w:t>Japan</w:t>
            </w:r>
          </w:p>
        </w:tc>
        <w:tc>
          <w:tcPr>
            <w:tcW w:w="9690" w:type="dxa"/>
          </w:tcPr>
          <w:p>
            <w:pPr>
              <w:pStyle w:val="TableParagraph"/>
              <w:spacing w:line="227" w:lineRule="exact"/>
              <w:rPr>
                <w:sz w:val="20"/>
              </w:rPr>
            </w:pPr>
            <w:r>
              <w:rPr>
                <w:sz w:val="20"/>
              </w:rPr>
              <w:t>National Tax Agency (NTA) and the local tax office</w:t>
            </w:r>
          </w:p>
        </w:tc>
      </w:tr>
      <w:tr>
        <w:trPr>
          <w:trHeight w:val="689" w:hRule="atLeast"/>
        </w:trPr>
        <w:tc>
          <w:tcPr>
            <w:tcW w:w="1336" w:type="dxa"/>
          </w:tcPr>
          <w:p>
            <w:pPr>
              <w:pStyle w:val="TableParagraph"/>
              <w:spacing w:before="8"/>
              <w:ind w:left="0"/>
              <w:rPr>
                <w:b/>
                <w:sz w:val="20"/>
              </w:rPr>
            </w:pPr>
          </w:p>
          <w:p>
            <w:pPr>
              <w:pStyle w:val="TableParagraph"/>
              <w:ind w:left="327"/>
              <w:rPr>
                <w:b/>
                <w:sz w:val="20"/>
              </w:rPr>
            </w:pPr>
            <w:bookmarkStart w:name="Mexico" w:id="11"/>
            <w:bookmarkEnd w:id="11"/>
            <w:r>
              <w:rPr/>
            </w:r>
            <w:r>
              <w:rPr>
                <w:b/>
                <w:sz w:val="20"/>
              </w:rPr>
              <w:t>Mexico</w:t>
            </w:r>
          </w:p>
        </w:tc>
        <w:tc>
          <w:tcPr>
            <w:tcW w:w="9690" w:type="dxa"/>
          </w:tcPr>
          <w:p>
            <w:pPr>
              <w:pStyle w:val="TableParagraph"/>
              <w:rPr>
                <w:sz w:val="20"/>
              </w:rPr>
            </w:pPr>
            <w:r>
              <w:rPr>
                <w:sz w:val="20"/>
                <w:u w:val="single"/>
              </w:rPr>
              <w:t>Tequila</w:t>
            </w:r>
            <w:r>
              <w:rPr>
                <w:sz w:val="20"/>
              </w:rPr>
              <w:t>: Ministry of the Economy (Secretaria de Economia) Office for Norms and Regulations </w:t>
            </w:r>
            <w:hyperlink r:id="rId16">
              <w:r>
                <w:rPr>
                  <w:color w:val="0000FF"/>
                  <w:sz w:val="20"/>
                  <w:u w:val="single" w:color="0000FF"/>
                </w:rPr>
                <w:t>www.economia.gob.mx</w:t>
              </w:r>
            </w:hyperlink>
          </w:p>
        </w:tc>
      </w:tr>
      <w:tr>
        <w:trPr>
          <w:trHeight w:val="1104" w:hRule="atLeast"/>
        </w:trPr>
        <w:tc>
          <w:tcPr>
            <w:tcW w:w="1336" w:type="dxa"/>
          </w:tcPr>
          <w:p>
            <w:pPr>
              <w:pStyle w:val="TableParagraph"/>
              <w:spacing w:before="8"/>
              <w:ind w:left="0"/>
              <w:rPr>
                <w:b/>
                <w:sz w:val="20"/>
              </w:rPr>
            </w:pPr>
          </w:p>
          <w:p>
            <w:pPr>
              <w:pStyle w:val="TableParagraph"/>
              <w:ind w:left="333"/>
              <w:rPr>
                <w:b/>
                <w:sz w:val="20"/>
              </w:rPr>
            </w:pPr>
            <w:bookmarkStart w:name="Poland" w:id="12"/>
            <w:bookmarkEnd w:id="12"/>
            <w:r>
              <w:rPr/>
            </w:r>
            <w:r>
              <w:rPr>
                <w:b/>
                <w:sz w:val="20"/>
              </w:rPr>
              <w:t>Poland</w:t>
            </w:r>
          </w:p>
        </w:tc>
        <w:tc>
          <w:tcPr>
            <w:tcW w:w="9690" w:type="dxa"/>
          </w:tcPr>
          <w:p>
            <w:pPr>
              <w:pStyle w:val="TableParagraph"/>
              <w:spacing w:line="273" w:lineRule="exact"/>
              <w:rPr>
                <w:rFonts w:ascii="Times New Roman"/>
                <w:sz w:val="24"/>
              </w:rPr>
            </w:pPr>
            <w:r>
              <w:rPr>
                <w:rFonts w:ascii="Times New Roman"/>
                <w:sz w:val="24"/>
              </w:rPr>
              <w:t>Polish Chamber of Commerce</w:t>
            </w:r>
          </w:p>
          <w:p>
            <w:pPr>
              <w:pStyle w:val="TableParagraph"/>
              <w:ind w:right="2148"/>
              <w:rPr>
                <w:rFonts w:ascii="Times New Roman"/>
                <w:sz w:val="24"/>
              </w:rPr>
            </w:pPr>
            <w:r>
              <w:rPr>
                <w:rFonts w:ascii="Times New Roman"/>
                <w:sz w:val="24"/>
              </w:rPr>
              <w:t>Address: Internet Promocja, ul. Wloscianska 8/58, 01-710 Waszawa, Poland. </w:t>
            </w:r>
            <w:hyperlink r:id="rId17">
              <w:r>
                <w:rPr>
                  <w:rFonts w:ascii="Times New Roman"/>
                  <w:color w:val="0000FF"/>
                  <w:sz w:val="24"/>
                  <w:u w:val="single" w:color="0000FF"/>
                </w:rPr>
                <w:t>www.chamberofcommerce.pl</w:t>
              </w:r>
            </w:hyperlink>
          </w:p>
        </w:tc>
      </w:tr>
      <w:tr>
        <w:trPr>
          <w:trHeight w:val="1379" w:hRule="atLeast"/>
        </w:trPr>
        <w:tc>
          <w:tcPr>
            <w:tcW w:w="1336" w:type="dxa"/>
          </w:tcPr>
          <w:p>
            <w:pPr>
              <w:pStyle w:val="TableParagraph"/>
              <w:spacing w:before="8"/>
              <w:ind w:left="0"/>
              <w:rPr>
                <w:b/>
                <w:sz w:val="20"/>
              </w:rPr>
            </w:pPr>
          </w:p>
          <w:p>
            <w:pPr>
              <w:pStyle w:val="TableParagraph"/>
              <w:ind w:left="449" w:right="323" w:hanging="100"/>
              <w:rPr>
                <w:b/>
                <w:sz w:val="20"/>
              </w:rPr>
            </w:pPr>
            <w:bookmarkStart w:name="Puerto Rico" w:id="13"/>
            <w:bookmarkEnd w:id="13"/>
            <w:r>
              <w:rPr/>
            </w:r>
            <w:r>
              <w:rPr>
                <w:b/>
                <w:sz w:val="20"/>
              </w:rPr>
              <w:t>Puerto Rico</w:t>
            </w:r>
          </w:p>
        </w:tc>
        <w:tc>
          <w:tcPr>
            <w:tcW w:w="9690" w:type="dxa"/>
          </w:tcPr>
          <w:p>
            <w:pPr>
              <w:pStyle w:val="TableParagraph"/>
              <w:ind w:right="263"/>
              <w:rPr>
                <w:rFonts w:ascii="Times New Roman"/>
                <w:sz w:val="24"/>
              </w:rPr>
            </w:pPr>
            <w:r>
              <w:rPr>
                <w:rFonts w:ascii="Times New Roman"/>
                <w:sz w:val="24"/>
              </w:rPr>
              <w:t>United States Alcohol and Tobacco Tax and Trade Bureau, Department of the Treasury National Revenue Center</w:t>
            </w:r>
          </w:p>
          <w:p>
            <w:pPr>
              <w:pStyle w:val="TableParagraph"/>
              <w:ind w:right="127"/>
              <w:rPr>
                <w:rFonts w:ascii="Times New Roman"/>
                <w:sz w:val="24"/>
              </w:rPr>
            </w:pPr>
            <w:r>
              <w:rPr>
                <w:rFonts w:ascii="Times New Roman"/>
                <w:sz w:val="24"/>
              </w:rPr>
              <w:t>Address: Document Process and Analysis Section, Room 8002, 550 Main Street, Cincinnati, Ohio 45202</w:t>
            </w:r>
          </w:p>
        </w:tc>
      </w:tr>
      <w:tr>
        <w:trPr>
          <w:trHeight w:val="1610" w:hRule="atLeast"/>
        </w:trPr>
        <w:tc>
          <w:tcPr>
            <w:tcW w:w="1336" w:type="dxa"/>
          </w:tcPr>
          <w:p>
            <w:pPr>
              <w:pStyle w:val="TableParagraph"/>
              <w:spacing w:line="228" w:lineRule="exact"/>
              <w:ind w:left="338"/>
              <w:rPr>
                <w:b/>
                <w:sz w:val="20"/>
              </w:rPr>
            </w:pPr>
            <w:r>
              <w:rPr>
                <w:b/>
                <w:sz w:val="20"/>
              </w:rPr>
              <w:t>Russia</w:t>
            </w:r>
          </w:p>
        </w:tc>
        <w:tc>
          <w:tcPr>
            <w:tcW w:w="9690" w:type="dxa"/>
          </w:tcPr>
          <w:p>
            <w:pPr>
              <w:pStyle w:val="TableParagraph"/>
              <w:ind w:right="136"/>
              <w:rPr>
                <w:sz w:val="20"/>
              </w:rPr>
            </w:pPr>
            <w:r>
              <w:rPr>
                <w:sz w:val="20"/>
              </w:rPr>
              <w:t>Certificates of Conformance are issued by the laboratories that are recognised by Russian Standardisation Committee</w:t>
            </w:r>
          </w:p>
          <w:p>
            <w:pPr>
              <w:pStyle w:val="TableParagraph"/>
              <w:ind w:right="2927"/>
              <w:rPr>
                <w:sz w:val="20"/>
              </w:rPr>
            </w:pPr>
            <w:r>
              <w:rPr>
                <w:sz w:val="20"/>
              </w:rPr>
              <w:t>Certificates of Origin are issued by Chamber of Trade and Commerce. Address: 109012 Moscow, St Ilyinka, 6.</w:t>
            </w:r>
          </w:p>
          <w:p>
            <w:pPr>
              <w:pStyle w:val="TableParagraph"/>
              <w:ind w:right="1015"/>
              <w:rPr>
                <w:sz w:val="20"/>
              </w:rPr>
            </w:pPr>
            <w:r>
              <w:rPr>
                <w:sz w:val="20"/>
              </w:rPr>
              <w:t>Chamber of Trade and Commerce has a laboratory, Soyzexpertiza (SOEX) that is recognised by Standardisation Committee.</w:t>
            </w:r>
          </w:p>
        </w:tc>
      </w:tr>
      <w:tr>
        <w:trPr>
          <w:trHeight w:val="689" w:hRule="atLeast"/>
        </w:trPr>
        <w:tc>
          <w:tcPr>
            <w:tcW w:w="1336" w:type="dxa"/>
          </w:tcPr>
          <w:p>
            <w:pPr>
              <w:pStyle w:val="TableParagraph"/>
              <w:spacing w:before="8"/>
              <w:ind w:left="0"/>
              <w:rPr>
                <w:b/>
                <w:sz w:val="20"/>
              </w:rPr>
            </w:pPr>
          </w:p>
          <w:p>
            <w:pPr>
              <w:pStyle w:val="TableParagraph"/>
              <w:ind w:left="360"/>
              <w:rPr>
                <w:b/>
                <w:sz w:val="20"/>
              </w:rPr>
            </w:pPr>
            <w:bookmarkStart w:name="Serbia" w:id="14"/>
            <w:bookmarkEnd w:id="14"/>
            <w:r>
              <w:rPr/>
            </w:r>
            <w:r>
              <w:rPr>
                <w:b/>
                <w:sz w:val="20"/>
              </w:rPr>
              <w:t>Serbia</w:t>
            </w:r>
          </w:p>
        </w:tc>
        <w:tc>
          <w:tcPr>
            <w:tcW w:w="9690" w:type="dxa"/>
          </w:tcPr>
          <w:p>
            <w:pPr>
              <w:pStyle w:val="TableParagraph"/>
              <w:spacing w:line="227" w:lineRule="exact"/>
              <w:rPr>
                <w:sz w:val="20"/>
              </w:rPr>
            </w:pPr>
            <w:r>
              <w:rPr>
                <w:sz w:val="20"/>
              </w:rPr>
              <w:t>Jugoinspekt</w:t>
            </w:r>
          </w:p>
          <w:p>
            <w:pPr>
              <w:pStyle w:val="TableParagraph"/>
              <w:rPr>
                <w:sz w:val="20"/>
              </w:rPr>
            </w:pPr>
            <w:r>
              <w:rPr>
                <w:sz w:val="20"/>
              </w:rPr>
              <w:t>Address: Trg Republic 3/I, 11000 Belgrade. </w:t>
            </w:r>
            <w:hyperlink r:id="rId18">
              <w:r>
                <w:rPr>
                  <w:color w:val="0000FF"/>
                  <w:sz w:val="20"/>
                  <w:u w:val="single" w:color="0000FF"/>
                </w:rPr>
                <w:t>www.jugoinspekt.com</w:t>
              </w:r>
            </w:hyperlink>
          </w:p>
        </w:tc>
      </w:tr>
      <w:tr>
        <w:trPr>
          <w:trHeight w:val="828" w:hRule="atLeast"/>
        </w:trPr>
        <w:tc>
          <w:tcPr>
            <w:tcW w:w="1336" w:type="dxa"/>
          </w:tcPr>
          <w:p>
            <w:pPr>
              <w:pStyle w:val="TableParagraph"/>
              <w:ind w:left="244" w:right="217" w:firstLine="100"/>
              <w:rPr>
                <w:b/>
                <w:sz w:val="20"/>
              </w:rPr>
            </w:pPr>
            <w:r>
              <w:rPr>
                <w:b/>
                <w:sz w:val="20"/>
              </w:rPr>
              <w:t>Slovak Republic</w:t>
            </w:r>
          </w:p>
        </w:tc>
        <w:tc>
          <w:tcPr>
            <w:tcW w:w="9690" w:type="dxa"/>
          </w:tcPr>
          <w:p>
            <w:pPr>
              <w:pStyle w:val="TableParagraph"/>
              <w:ind w:right="3247"/>
              <w:rPr>
                <w:rFonts w:ascii="Times New Roman"/>
                <w:sz w:val="24"/>
              </w:rPr>
            </w:pPr>
            <w:r>
              <w:rPr>
                <w:rFonts w:ascii="Times New Roman"/>
                <w:sz w:val="24"/>
              </w:rPr>
              <w:t>State Veterinary and Food Administration of the Slovak Republic Address: Botanicka 17, 842 13 Bratislava </w:t>
            </w:r>
            <w:hyperlink r:id="rId19">
              <w:r>
                <w:rPr>
                  <w:rFonts w:ascii="Times New Roman"/>
                  <w:color w:val="0000FF"/>
                  <w:sz w:val="24"/>
                  <w:u w:val="single" w:color="0000FF"/>
                </w:rPr>
                <w:t>www.svssr.sk</w:t>
              </w:r>
            </w:hyperlink>
          </w:p>
        </w:tc>
      </w:tr>
    </w:tbl>
    <w:p>
      <w:pPr>
        <w:spacing w:after="0"/>
        <w:rPr>
          <w:rFonts w:ascii="Times New Roman"/>
          <w:sz w:val="24"/>
        </w:rPr>
        <w:sectPr>
          <w:pgSz w:w="11910" w:h="16840"/>
          <w:pgMar w:top="1440" w:bottom="280" w:left="0" w:right="0"/>
        </w:sectPr>
      </w:pPr>
    </w:p>
    <w:tbl>
      <w:tblPr>
        <w:tblW w:w="0" w:type="auto"/>
        <w:jc w:val="left"/>
        <w:tblInd w:w="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6"/>
        <w:gridCol w:w="9690"/>
      </w:tblGrid>
      <w:tr>
        <w:trPr>
          <w:trHeight w:val="460" w:hRule="atLeast"/>
        </w:trPr>
        <w:tc>
          <w:tcPr>
            <w:tcW w:w="1336" w:type="dxa"/>
          </w:tcPr>
          <w:p>
            <w:pPr>
              <w:pStyle w:val="TableParagraph"/>
              <w:spacing w:line="230" w:lineRule="exact" w:before="1"/>
              <w:ind w:left="138" w:right="112" w:firstLine="22"/>
              <w:rPr>
                <w:b/>
                <w:sz w:val="20"/>
              </w:rPr>
            </w:pPr>
            <w:r>
              <w:rPr>
                <w:b/>
                <w:sz w:val="20"/>
              </w:rPr>
              <w:t>Country of Production</w:t>
            </w:r>
          </w:p>
        </w:tc>
        <w:tc>
          <w:tcPr>
            <w:tcW w:w="9690" w:type="dxa"/>
          </w:tcPr>
          <w:p>
            <w:pPr>
              <w:pStyle w:val="TableParagraph"/>
              <w:spacing w:line="228" w:lineRule="exact"/>
              <w:ind w:left="3183" w:right="3178"/>
              <w:jc w:val="center"/>
              <w:rPr>
                <w:b/>
                <w:sz w:val="20"/>
              </w:rPr>
            </w:pPr>
            <w:r>
              <w:rPr>
                <w:b/>
                <w:sz w:val="20"/>
              </w:rPr>
              <w:t>Government Approved Authorities</w:t>
            </w:r>
          </w:p>
        </w:tc>
      </w:tr>
      <w:tr>
        <w:trPr>
          <w:trHeight w:val="781" w:hRule="atLeast"/>
        </w:trPr>
        <w:tc>
          <w:tcPr>
            <w:tcW w:w="1336" w:type="dxa"/>
          </w:tcPr>
          <w:p>
            <w:pPr>
              <w:pStyle w:val="TableParagraph"/>
              <w:spacing w:before="7"/>
              <w:ind w:left="0"/>
              <w:rPr>
                <w:b/>
                <w:sz w:val="20"/>
              </w:rPr>
            </w:pPr>
          </w:p>
          <w:p>
            <w:pPr>
              <w:pStyle w:val="TableParagraph"/>
              <w:ind w:left="383" w:right="356"/>
              <w:rPr>
                <w:b/>
                <w:sz w:val="20"/>
              </w:rPr>
            </w:pPr>
            <w:bookmarkStart w:name="South Africa" w:id="15"/>
            <w:bookmarkEnd w:id="15"/>
            <w:r>
              <w:rPr/>
            </w:r>
            <w:r>
              <w:rPr>
                <w:b/>
                <w:sz w:val="20"/>
              </w:rPr>
              <w:t>South Africa</w:t>
            </w:r>
          </w:p>
        </w:tc>
        <w:tc>
          <w:tcPr>
            <w:tcW w:w="9690" w:type="dxa"/>
          </w:tcPr>
          <w:p>
            <w:pPr>
              <w:pStyle w:val="TableParagraph"/>
              <w:spacing w:line="226" w:lineRule="exact"/>
              <w:rPr>
                <w:sz w:val="20"/>
              </w:rPr>
            </w:pPr>
            <w:r>
              <w:rPr>
                <w:sz w:val="20"/>
              </w:rPr>
              <w:t>South African Revenue Service (SARS): Customs and Excise</w:t>
            </w:r>
          </w:p>
          <w:p>
            <w:pPr>
              <w:pStyle w:val="TableParagraph"/>
              <w:spacing w:line="275" w:lineRule="exact"/>
              <w:rPr>
                <w:rFonts w:ascii="Times New Roman"/>
                <w:sz w:val="24"/>
              </w:rPr>
            </w:pPr>
            <w:r>
              <w:rPr>
                <w:rFonts w:ascii="Times New Roman"/>
                <w:sz w:val="24"/>
              </w:rPr>
              <w:t>Address: Head Office Private Bag X923 Pretoria 0001. </w:t>
            </w:r>
            <w:hyperlink r:id="rId20">
              <w:r>
                <w:rPr>
                  <w:rFonts w:ascii="Times New Roman"/>
                  <w:color w:val="0000FF"/>
                  <w:sz w:val="24"/>
                  <w:u w:val="single" w:color="0000FF"/>
                </w:rPr>
                <w:t>www.sars.gov.za</w:t>
              </w:r>
            </w:hyperlink>
          </w:p>
        </w:tc>
      </w:tr>
      <w:tr>
        <w:trPr>
          <w:trHeight w:val="4364" w:hRule="atLeast"/>
        </w:trPr>
        <w:tc>
          <w:tcPr>
            <w:tcW w:w="1336" w:type="dxa"/>
            <w:vMerge w:val="restart"/>
          </w:tcPr>
          <w:p>
            <w:pPr>
              <w:pStyle w:val="TableParagraph"/>
              <w:spacing w:before="8"/>
              <w:ind w:left="0"/>
              <w:rPr>
                <w:b/>
                <w:sz w:val="20"/>
              </w:rPr>
            </w:pPr>
          </w:p>
          <w:p>
            <w:pPr>
              <w:pStyle w:val="TableParagraph"/>
              <w:ind w:left="394"/>
              <w:rPr>
                <w:b/>
                <w:sz w:val="20"/>
              </w:rPr>
            </w:pPr>
            <w:bookmarkStart w:name="Spain" w:id="16"/>
            <w:bookmarkEnd w:id="16"/>
            <w:r>
              <w:rPr/>
            </w:r>
            <w:r>
              <w:rPr>
                <w:b/>
                <w:sz w:val="20"/>
              </w:rPr>
              <w:t>Spain</w:t>
            </w:r>
          </w:p>
        </w:tc>
        <w:tc>
          <w:tcPr>
            <w:tcW w:w="9690" w:type="dxa"/>
            <w:tcBorders>
              <w:bottom w:val="nil"/>
            </w:tcBorders>
          </w:tcPr>
          <w:p>
            <w:pPr>
              <w:pStyle w:val="TableParagraph"/>
              <w:numPr>
                <w:ilvl w:val="0"/>
                <w:numId w:val="2"/>
              </w:numPr>
              <w:tabs>
                <w:tab w:pos="828" w:val="left" w:leader="none"/>
              </w:tabs>
              <w:spacing w:line="240" w:lineRule="auto" w:before="0" w:after="0"/>
              <w:ind w:left="827" w:right="1828" w:hanging="360"/>
              <w:jc w:val="left"/>
              <w:rPr>
                <w:sz w:val="20"/>
              </w:rPr>
            </w:pPr>
            <w:r>
              <w:rPr>
                <w:sz w:val="20"/>
              </w:rPr>
              <w:t>Consejo Regulador De Las Bebidas Espirituosas Tradicionales De Alicant Address:</w:t>
            </w:r>
            <w:r>
              <w:rPr>
                <w:spacing w:val="-4"/>
                <w:sz w:val="20"/>
              </w:rPr>
              <w:t> </w:t>
            </w:r>
            <w:r>
              <w:rPr>
                <w:sz w:val="20"/>
              </w:rPr>
              <w:t>Polígono</w:t>
            </w:r>
            <w:r>
              <w:rPr>
                <w:spacing w:val="-4"/>
                <w:sz w:val="20"/>
              </w:rPr>
              <w:t> </w:t>
            </w:r>
            <w:r>
              <w:rPr>
                <w:sz w:val="20"/>
              </w:rPr>
              <w:t>"Cotes</w:t>
            </w:r>
            <w:r>
              <w:rPr>
                <w:spacing w:val="-4"/>
                <w:sz w:val="20"/>
              </w:rPr>
              <w:t> </w:t>
            </w:r>
            <w:r>
              <w:rPr>
                <w:sz w:val="20"/>
              </w:rPr>
              <w:t>Baixes"</w:t>
            </w:r>
            <w:r>
              <w:rPr>
                <w:spacing w:val="-4"/>
                <w:sz w:val="20"/>
              </w:rPr>
              <w:t> </w:t>
            </w:r>
            <w:r>
              <w:rPr>
                <w:sz w:val="20"/>
              </w:rPr>
              <w:t>Calle</w:t>
            </w:r>
            <w:r>
              <w:rPr>
                <w:spacing w:val="-5"/>
                <w:sz w:val="20"/>
              </w:rPr>
              <w:t> </w:t>
            </w:r>
            <w:r>
              <w:rPr>
                <w:sz w:val="20"/>
              </w:rPr>
              <w:t>C,</w:t>
            </w:r>
            <w:r>
              <w:rPr>
                <w:spacing w:val="-3"/>
                <w:sz w:val="20"/>
              </w:rPr>
              <w:t> </w:t>
            </w:r>
            <w:r>
              <w:rPr>
                <w:sz w:val="20"/>
              </w:rPr>
              <w:t>parcela</w:t>
            </w:r>
            <w:r>
              <w:rPr>
                <w:spacing w:val="-4"/>
                <w:sz w:val="20"/>
              </w:rPr>
              <w:t> </w:t>
            </w:r>
            <w:r>
              <w:rPr>
                <w:sz w:val="20"/>
              </w:rPr>
              <w:t>3</w:t>
            </w:r>
            <w:r>
              <w:rPr>
                <w:spacing w:val="-4"/>
                <w:sz w:val="20"/>
              </w:rPr>
              <w:t> </w:t>
            </w:r>
            <w:r>
              <w:rPr>
                <w:sz w:val="20"/>
              </w:rPr>
              <w:t>03804</w:t>
            </w:r>
            <w:r>
              <w:rPr>
                <w:spacing w:val="-4"/>
                <w:sz w:val="20"/>
              </w:rPr>
              <w:t> </w:t>
            </w:r>
            <w:r>
              <w:rPr>
                <w:sz w:val="20"/>
              </w:rPr>
              <w:t>-</w:t>
            </w:r>
            <w:r>
              <w:rPr>
                <w:spacing w:val="-4"/>
                <w:sz w:val="20"/>
              </w:rPr>
              <w:t> </w:t>
            </w:r>
            <w:r>
              <w:rPr>
                <w:sz w:val="20"/>
              </w:rPr>
              <w:t>ALCOY</w:t>
            </w:r>
            <w:r>
              <w:rPr>
                <w:spacing w:val="-3"/>
                <w:sz w:val="20"/>
              </w:rPr>
              <w:t> </w:t>
            </w:r>
            <w:r>
              <w:rPr>
                <w:sz w:val="20"/>
              </w:rPr>
              <w:t>(Alicante)</w:t>
            </w:r>
            <w:r>
              <w:rPr>
                <w:color w:val="0000FF"/>
                <w:sz w:val="20"/>
                <w:u w:val="single" w:color="0000FF"/>
              </w:rPr>
              <w:t> </w:t>
            </w:r>
            <w:hyperlink r:id="rId21">
              <w:r>
                <w:rPr>
                  <w:color w:val="0000FF"/>
                  <w:sz w:val="20"/>
                  <w:u w:val="single" w:color="0000FF"/>
                </w:rPr>
                <w:t>www.licoresdealicante.com</w:t>
              </w:r>
            </w:hyperlink>
          </w:p>
          <w:p>
            <w:pPr>
              <w:pStyle w:val="TableParagraph"/>
              <w:numPr>
                <w:ilvl w:val="0"/>
                <w:numId w:val="2"/>
              </w:numPr>
              <w:tabs>
                <w:tab w:pos="828" w:val="left" w:leader="none"/>
              </w:tabs>
              <w:spacing w:line="230" w:lineRule="exact" w:before="0" w:after="0"/>
              <w:ind w:left="827" w:right="0" w:hanging="361"/>
              <w:jc w:val="left"/>
              <w:rPr>
                <w:sz w:val="20"/>
              </w:rPr>
            </w:pPr>
            <w:r>
              <w:rPr>
                <w:sz w:val="20"/>
              </w:rPr>
              <w:t>Consejo Regulador De La Denominación Específica Brandy De</w:t>
            </w:r>
            <w:r>
              <w:rPr>
                <w:spacing w:val="-11"/>
                <w:sz w:val="20"/>
              </w:rPr>
              <w:t> </w:t>
            </w:r>
            <w:r>
              <w:rPr>
                <w:sz w:val="20"/>
              </w:rPr>
              <w:t>Jerez</w:t>
            </w:r>
          </w:p>
          <w:p>
            <w:pPr>
              <w:pStyle w:val="TableParagraph"/>
              <w:spacing w:line="230" w:lineRule="exact"/>
              <w:ind w:left="827"/>
              <w:rPr>
                <w:sz w:val="20"/>
              </w:rPr>
            </w:pPr>
            <w:r>
              <w:rPr>
                <w:sz w:val="20"/>
              </w:rPr>
              <w:t>Address: Avda. Alvaro Domecq, 2 11402 - Jerez De La Frontera (Cádiz) </w:t>
            </w:r>
            <w:hyperlink r:id="rId22">
              <w:r>
                <w:rPr>
                  <w:color w:val="0000FF"/>
                  <w:sz w:val="20"/>
                  <w:u w:val="single" w:color="0000FF"/>
                </w:rPr>
                <w:t>www.brandydejerez.es</w:t>
              </w:r>
            </w:hyperlink>
          </w:p>
          <w:p>
            <w:pPr>
              <w:pStyle w:val="TableParagraph"/>
              <w:numPr>
                <w:ilvl w:val="0"/>
                <w:numId w:val="2"/>
              </w:numPr>
              <w:tabs>
                <w:tab w:pos="828" w:val="left" w:leader="none"/>
              </w:tabs>
              <w:spacing w:line="240" w:lineRule="auto" w:before="0" w:after="0"/>
              <w:ind w:left="744" w:right="4808" w:hanging="278"/>
              <w:jc w:val="left"/>
              <w:rPr>
                <w:sz w:val="20"/>
              </w:rPr>
            </w:pPr>
            <w:r>
              <w:rPr/>
              <w:tab/>
            </w:r>
            <w:r>
              <w:rPr>
                <w:sz w:val="20"/>
              </w:rPr>
              <w:t>Denominación Geográfica "Chinchón" Address: Ronda de Atocha, 17 28012 -</w:t>
            </w:r>
            <w:r>
              <w:rPr>
                <w:spacing w:val="-18"/>
                <w:sz w:val="20"/>
              </w:rPr>
              <w:t> </w:t>
            </w:r>
            <w:r>
              <w:rPr>
                <w:sz w:val="20"/>
              </w:rPr>
              <w:t>Madrid</w:t>
            </w:r>
          </w:p>
          <w:p>
            <w:pPr>
              <w:pStyle w:val="TableParagraph"/>
              <w:numPr>
                <w:ilvl w:val="0"/>
                <w:numId w:val="2"/>
              </w:numPr>
              <w:tabs>
                <w:tab w:pos="828" w:val="left" w:leader="none"/>
              </w:tabs>
              <w:spacing w:line="230" w:lineRule="exact" w:before="0" w:after="0"/>
              <w:ind w:left="827" w:right="0" w:hanging="361"/>
              <w:jc w:val="left"/>
              <w:rPr>
                <w:sz w:val="20"/>
              </w:rPr>
            </w:pPr>
            <w:r>
              <w:rPr>
                <w:sz w:val="20"/>
              </w:rPr>
              <w:t>Denominación Geográfica Palo De</w:t>
            </w:r>
            <w:r>
              <w:rPr>
                <w:spacing w:val="-6"/>
                <w:sz w:val="20"/>
              </w:rPr>
              <w:t> </w:t>
            </w:r>
            <w:r>
              <w:rPr>
                <w:sz w:val="20"/>
              </w:rPr>
              <w:t>Mallorca</w:t>
            </w:r>
          </w:p>
          <w:p>
            <w:pPr>
              <w:pStyle w:val="TableParagraph"/>
              <w:ind w:left="827" w:right="2104" w:hanging="83"/>
              <w:rPr>
                <w:sz w:val="20"/>
              </w:rPr>
            </w:pPr>
            <w:r>
              <w:rPr>
                <w:sz w:val="20"/>
              </w:rPr>
              <w:t>Address: C/ Foners, nº 10 07071 - Palma De Mallorca </w:t>
            </w:r>
            <w:hyperlink r:id="rId23">
              <w:r>
                <w:rPr>
                  <w:color w:val="0000FF"/>
                  <w:sz w:val="20"/>
                  <w:u w:val="single" w:color="0000FF"/>
                </w:rPr>
                <w:t>www.illesbalearsquialitat.es</w:t>
              </w:r>
            </w:hyperlink>
          </w:p>
          <w:p>
            <w:pPr>
              <w:pStyle w:val="TableParagraph"/>
              <w:numPr>
                <w:ilvl w:val="0"/>
                <w:numId w:val="2"/>
              </w:numPr>
              <w:tabs>
                <w:tab w:pos="829" w:val="left" w:leader="none"/>
              </w:tabs>
              <w:spacing w:line="230" w:lineRule="exact" w:before="0" w:after="0"/>
              <w:ind w:left="828" w:right="0" w:hanging="362"/>
              <w:jc w:val="left"/>
              <w:rPr>
                <w:sz w:val="20"/>
              </w:rPr>
            </w:pPr>
            <w:r>
              <w:rPr>
                <w:sz w:val="20"/>
              </w:rPr>
              <w:t>Consejo Regulador De Las Denominaciones Geográficas De</w:t>
            </w:r>
            <w:r>
              <w:rPr>
                <w:spacing w:val="-9"/>
                <w:sz w:val="20"/>
              </w:rPr>
              <w:t> </w:t>
            </w:r>
            <w:r>
              <w:rPr>
                <w:sz w:val="20"/>
              </w:rPr>
              <w:t>Los</w:t>
            </w:r>
          </w:p>
          <w:p>
            <w:pPr>
              <w:pStyle w:val="TableParagraph"/>
              <w:numPr>
                <w:ilvl w:val="0"/>
                <w:numId w:val="2"/>
              </w:numPr>
              <w:tabs>
                <w:tab w:pos="828" w:val="left" w:leader="none"/>
              </w:tabs>
              <w:spacing w:line="230" w:lineRule="exact" w:before="0" w:after="0"/>
              <w:ind w:left="827" w:right="0" w:hanging="361"/>
              <w:jc w:val="left"/>
              <w:rPr>
                <w:sz w:val="20"/>
              </w:rPr>
            </w:pPr>
            <w:r>
              <w:rPr>
                <w:sz w:val="20"/>
              </w:rPr>
              <w:t>Aguardientes Y Licores Tradicionales De Galicia Address: Pazo de Quian s/n -</w:t>
            </w:r>
            <w:r>
              <w:rPr>
                <w:spacing w:val="-18"/>
                <w:sz w:val="20"/>
              </w:rPr>
              <w:t> </w:t>
            </w:r>
            <w:r>
              <w:rPr>
                <w:sz w:val="20"/>
              </w:rPr>
              <w:t>Sergude</w:t>
            </w:r>
          </w:p>
          <w:p>
            <w:pPr>
              <w:pStyle w:val="TableParagraph"/>
              <w:numPr>
                <w:ilvl w:val="0"/>
                <w:numId w:val="2"/>
              </w:numPr>
              <w:tabs>
                <w:tab w:pos="828" w:val="left" w:leader="none"/>
              </w:tabs>
              <w:spacing w:line="240" w:lineRule="auto" w:before="0" w:after="0"/>
              <w:ind w:left="827" w:right="6136" w:hanging="361"/>
              <w:jc w:val="left"/>
              <w:rPr>
                <w:sz w:val="20"/>
              </w:rPr>
            </w:pPr>
            <w:r>
              <w:rPr>
                <w:sz w:val="20"/>
              </w:rPr>
              <w:t>15881 - Boqueixon (A Coruña)</w:t>
            </w:r>
            <w:r>
              <w:rPr>
                <w:color w:val="0000FF"/>
                <w:sz w:val="20"/>
                <w:u w:val="single" w:color="0000FF"/>
              </w:rPr>
              <w:t> </w:t>
            </w:r>
            <w:hyperlink r:id="rId24">
              <w:r>
                <w:rPr>
                  <w:color w:val="0000FF"/>
                  <w:sz w:val="20"/>
                  <w:u w:val="single" w:color="0000FF"/>
                </w:rPr>
                <w:t>www.orujodegalicia.org</w:t>
              </w:r>
            </w:hyperlink>
          </w:p>
          <w:p>
            <w:pPr>
              <w:pStyle w:val="TableParagraph"/>
              <w:numPr>
                <w:ilvl w:val="0"/>
                <w:numId w:val="2"/>
              </w:numPr>
              <w:tabs>
                <w:tab w:pos="828" w:val="left" w:leader="none"/>
              </w:tabs>
              <w:spacing w:line="240" w:lineRule="auto" w:before="0" w:after="0"/>
              <w:ind w:left="827" w:right="777" w:hanging="360"/>
              <w:jc w:val="left"/>
              <w:rPr>
                <w:sz w:val="20"/>
              </w:rPr>
            </w:pPr>
            <w:r>
              <w:rPr>
                <w:sz w:val="20"/>
              </w:rPr>
              <w:t>Consejo Regulador De La Denominación Específica Pacharán Navarro. Address: Plaza del Vínculo, 3, 2º izqda. 31002 –</w:t>
            </w:r>
            <w:r>
              <w:rPr>
                <w:spacing w:val="-10"/>
                <w:sz w:val="20"/>
              </w:rPr>
              <w:t> </w:t>
            </w:r>
            <w:r>
              <w:rPr>
                <w:sz w:val="20"/>
              </w:rPr>
              <w:t>Pamplona</w:t>
            </w:r>
          </w:p>
          <w:p>
            <w:pPr>
              <w:pStyle w:val="TableParagraph"/>
              <w:numPr>
                <w:ilvl w:val="0"/>
                <w:numId w:val="2"/>
              </w:numPr>
              <w:tabs>
                <w:tab w:pos="828" w:val="left" w:leader="none"/>
              </w:tabs>
              <w:spacing w:line="240" w:lineRule="auto" w:before="0" w:after="0"/>
              <w:ind w:left="827" w:right="256" w:hanging="360"/>
              <w:jc w:val="left"/>
              <w:rPr>
                <w:sz w:val="20"/>
              </w:rPr>
            </w:pPr>
            <w:r>
              <w:rPr>
                <w:sz w:val="20"/>
              </w:rPr>
              <w:t>Denominación Geográfica Ratafia Catalana Address: Gran Vía de las Corts Catalanes, 612- 614. 4ª planta 08071 –</w:t>
            </w:r>
            <w:r>
              <w:rPr>
                <w:spacing w:val="-5"/>
                <w:sz w:val="20"/>
              </w:rPr>
              <w:t> </w:t>
            </w:r>
            <w:r>
              <w:rPr>
                <w:sz w:val="20"/>
              </w:rPr>
              <w:t>Barcelona</w:t>
            </w:r>
          </w:p>
          <w:p>
            <w:pPr>
              <w:pStyle w:val="TableParagraph"/>
              <w:spacing w:line="208" w:lineRule="exact"/>
              <w:ind w:left="827"/>
              <w:rPr>
                <w:sz w:val="20"/>
              </w:rPr>
            </w:pPr>
            <w:hyperlink r:id="rId25">
              <w:r>
                <w:rPr>
                  <w:color w:val="0000FF"/>
                  <w:sz w:val="20"/>
                  <w:u w:val="single" w:color="0000FF"/>
                </w:rPr>
                <w:t>www.gencat.net/darp</w:t>
              </w:r>
            </w:hyperlink>
          </w:p>
        </w:tc>
      </w:tr>
      <w:tr>
        <w:trPr>
          <w:trHeight w:val="5514" w:hRule="atLeast"/>
        </w:trPr>
        <w:tc>
          <w:tcPr>
            <w:tcW w:w="1336" w:type="dxa"/>
            <w:vMerge/>
            <w:tcBorders>
              <w:top w:val="nil"/>
            </w:tcBorders>
          </w:tcPr>
          <w:p>
            <w:pPr>
              <w:rPr>
                <w:sz w:val="2"/>
                <w:szCs w:val="2"/>
              </w:rPr>
            </w:pPr>
          </w:p>
        </w:tc>
        <w:tc>
          <w:tcPr>
            <w:tcW w:w="9690" w:type="dxa"/>
            <w:tcBorders>
              <w:top w:val="nil"/>
            </w:tcBorders>
          </w:tcPr>
          <w:p>
            <w:pPr>
              <w:pStyle w:val="TableParagraph"/>
              <w:numPr>
                <w:ilvl w:val="0"/>
                <w:numId w:val="3"/>
              </w:numPr>
              <w:tabs>
                <w:tab w:pos="828" w:val="left" w:leader="none"/>
              </w:tabs>
              <w:spacing w:line="222" w:lineRule="exact" w:before="0" w:after="0"/>
              <w:ind w:left="827" w:right="0" w:hanging="361"/>
              <w:jc w:val="left"/>
              <w:rPr>
                <w:sz w:val="20"/>
              </w:rPr>
            </w:pPr>
            <w:r>
              <w:rPr>
                <w:sz w:val="20"/>
              </w:rPr>
              <w:t>Centro De Transferencia Agroalimentaria. Address: Bº Movera 50 194-</w:t>
            </w:r>
            <w:r>
              <w:rPr>
                <w:spacing w:val="-17"/>
                <w:sz w:val="20"/>
              </w:rPr>
              <w:t> </w:t>
            </w:r>
            <w:r>
              <w:rPr>
                <w:sz w:val="20"/>
              </w:rPr>
              <w:t>Zaragoza</w:t>
            </w:r>
          </w:p>
          <w:p>
            <w:pPr>
              <w:pStyle w:val="TableParagraph"/>
              <w:numPr>
                <w:ilvl w:val="0"/>
                <w:numId w:val="3"/>
              </w:numPr>
              <w:tabs>
                <w:tab w:pos="828" w:val="left" w:leader="none"/>
              </w:tabs>
              <w:spacing w:line="230" w:lineRule="exact" w:before="0" w:after="0"/>
              <w:ind w:left="827" w:right="0" w:hanging="361"/>
              <w:jc w:val="left"/>
              <w:rPr>
                <w:sz w:val="20"/>
              </w:rPr>
            </w:pPr>
            <w:r>
              <w:rPr>
                <w:sz w:val="20"/>
              </w:rPr>
              <w:t>Laboratorio</w:t>
            </w:r>
            <w:r>
              <w:rPr>
                <w:spacing w:val="-7"/>
                <w:sz w:val="20"/>
              </w:rPr>
              <w:t> </w:t>
            </w:r>
            <w:r>
              <w:rPr>
                <w:sz w:val="20"/>
              </w:rPr>
              <w:t>Enológico</w:t>
            </w:r>
            <w:r>
              <w:rPr>
                <w:spacing w:val="-7"/>
                <w:sz w:val="20"/>
              </w:rPr>
              <w:t> </w:t>
            </w:r>
            <w:r>
              <w:rPr>
                <w:sz w:val="20"/>
              </w:rPr>
              <w:t>del</w:t>
            </w:r>
            <w:r>
              <w:rPr>
                <w:spacing w:val="-7"/>
                <w:sz w:val="20"/>
              </w:rPr>
              <w:t> </w:t>
            </w:r>
            <w:r>
              <w:rPr>
                <w:sz w:val="20"/>
              </w:rPr>
              <w:t>S.E.R.I.D.A.</w:t>
            </w:r>
            <w:r>
              <w:rPr>
                <w:spacing w:val="-6"/>
                <w:sz w:val="20"/>
              </w:rPr>
              <w:t> </w:t>
            </w:r>
            <w:r>
              <w:rPr>
                <w:sz w:val="20"/>
              </w:rPr>
              <w:t>Address:</w:t>
            </w:r>
            <w:r>
              <w:rPr>
                <w:spacing w:val="-7"/>
                <w:sz w:val="20"/>
              </w:rPr>
              <w:t> </w:t>
            </w:r>
            <w:r>
              <w:rPr>
                <w:sz w:val="20"/>
              </w:rPr>
              <w:t>Carretera</w:t>
            </w:r>
            <w:r>
              <w:rPr>
                <w:spacing w:val="-7"/>
                <w:sz w:val="20"/>
              </w:rPr>
              <w:t> </w:t>
            </w:r>
            <w:r>
              <w:rPr>
                <w:sz w:val="20"/>
              </w:rPr>
              <w:t>de</w:t>
            </w:r>
            <w:r>
              <w:rPr>
                <w:spacing w:val="-6"/>
                <w:sz w:val="20"/>
              </w:rPr>
              <w:t> </w:t>
            </w:r>
            <w:r>
              <w:rPr>
                <w:sz w:val="20"/>
              </w:rPr>
              <w:t>Oviedo,</w:t>
            </w:r>
            <w:r>
              <w:rPr>
                <w:spacing w:val="-7"/>
                <w:sz w:val="20"/>
              </w:rPr>
              <w:t> </w:t>
            </w:r>
            <w:r>
              <w:rPr>
                <w:sz w:val="20"/>
              </w:rPr>
              <w:t>s/n</w:t>
            </w:r>
            <w:r>
              <w:rPr>
                <w:spacing w:val="-7"/>
                <w:sz w:val="20"/>
              </w:rPr>
              <w:t> </w:t>
            </w:r>
            <w:r>
              <w:rPr>
                <w:sz w:val="20"/>
              </w:rPr>
              <w:t>33300</w:t>
            </w:r>
            <w:r>
              <w:rPr>
                <w:spacing w:val="-6"/>
                <w:sz w:val="20"/>
              </w:rPr>
              <w:t> </w:t>
            </w:r>
            <w:r>
              <w:rPr>
                <w:sz w:val="20"/>
              </w:rPr>
              <w:t>Villaviciosa</w:t>
            </w:r>
          </w:p>
          <w:p>
            <w:pPr>
              <w:pStyle w:val="TableParagraph"/>
              <w:numPr>
                <w:ilvl w:val="0"/>
                <w:numId w:val="3"/>
              </w:numPr>
              <w:tabs>
                <w:tab w:pos="828" w:val="left" w:leader="none"/>
              </w:tabs>
              <w:spacing w:line="230" w:lineRule="exact" w:before="0" w:after="0"/>
              <w:ind w:left="827" w:right="0" w:hanging="361"/>
              <w:jc w:val="left"/>
              <w:rPr>
                <w:sz w:val="20"/>
              </w:rPr>
            </w:pPr>
            <w:r>
              <w:rPr>
                <w:sz w:val="20"/>
              </w:rPr>
              <w:t>Estación</w:t>
            </w:r>
            <w:r>
              <w:rPr>
                <w:spacing w:val="-6"/>
                <w:sz w:val="20"/>
              </w:rPr>
              <w:t> </w:t>
            </w:r>
            <w:r>
              <w:rPr>
                <w:sz w:val="20"/>
              </w:rPr>
              <w:t>Enológica</w:t>
            </w:r>
            <w:r>
              <w:rPr>
                <w:spacing w:val="-5"/>
                <w:sz w:val="20"/>
              </w:rPr>
              <w:t> </w:t>
            </w:r>
            <w:r>
              <w:rPr>
                <w:sz w:val="20"/>
              </w:rPr>
              <w:t>De</w:t>
            </w:r>
            <w:r>
              <w:rPr>
                <w:spacing w:val="-6"/>
                <w:sz w:val="20"/>
              </w:rPr>
              <w:t> </w:t>
            </w:r>
            <w:r>
              <w:rPr>
                <w:sz w:val="20"/>
              </w:rPr>
              <w:t>Castilla</w:t>
            </w:r>
            <w:r>
              <w:rPr>
                <w:spacing w:val="-5"/>
                <w:sz w:val="20"/>
              </w:rPr>
              <w:t> </w:t>
            </w:r>
            <w:r>
              <w:rPr>
                <w:sz w:val="20"/>
              </w:rPr>
              <w:t>Y</w:t>
            </w:r>
            <w:r>
              <w:rPr>
                <w:spacing w:val="-6"/>
                <w:sz w:val="20"/>
              </w:rPr>
              <w:t> </w:t>
            </w:r>
            <w:r>
              <w:rPr>
                <w:sz w:val="20"/>
              </w:rPr>
              <w:t>León.</w:t>
            </w:r>
            <w:r>
              <w:rPr>
                <w:spacing w:val="-5"/>
                <w:sz w:val="20"/>
              </w:rPr>
              <w:t> </w:t>
            </w:r>
            <w:r>
              <w:rPr>
                <w:sz w:val="20"/>
              </w:rPr>
              <w:t>Address:</w:t>
            </w:r>
            <w:r>
              <w:rPr>
                <w:spacing w:val="-5"/>
                <w:sz w:val="20"/>
              </w:rPr>
              <w:t> </w:t>
            </w:r>
            <w:r>
              <w:rPr>
                <w:sz w:val="20"/>
              </w:rPr>
              <w:t>C/Santísimo</w:t>
            </w:r>
            <w:r>
              <w:rPr>
                <w:spacing w:val="-5"/>
                <w:sz w:val="20"/>
              </w:rPr>
              <w:t> </w:t>
            </w:r>
            <w:r>
              <w:rPr>
                <w:sz w:val="20"/>
              </w:rPr>
              <w:t>Cristo,</w:t>
            </w:r>
            <w:r>
              <w:rPr>
                <w:spacing w:val="-6"/>
                <w:sz w:val="20"/>
              </w:rPr>
              <w:t> </w:t>
            </w:r>
            <w:r>
              <w:rPr>
                <w:sz w:val="20"/>
              </w:rPr>
              <w:t>16</w:t>
            </w:r>
            <w:r>
              <w:rPr>
                <w:spacing w:val="-5"/>
                <w:sz w:val="20"/>
              </w:rPr>
              <w:t> </w:t>
            </w:r>
            <w:r>
              <w:rPr>
                <w:sz w:val="20"/>
              </w:rPr>
              <w:t>47490</w:t>
            </w:r>
            <w:r>
              <w:rPr>
                <w:spacing w:val="-5"/>
                <w:sz w:val="20"/>
              </w:rPr>
              <w:t> </w:t>
            </w:r>
            <w:r>
              <w:rPr>
                <w:sz w:val="20"/>
              </w:rPr>
              <w:t>Rueda</w:t>
            </w:r>
            <w:r>
              <w:rPr>
                <w:spacing w:val="-5"/>
                <w:sz w:val="20"/>
              </w:rPr>
              <w:t> </w:t>
            </w:r>
            <w:r>
              <w:rPr>
                <w:sz w:val="20"/>
              </w:rPr>
              <w:t>(Valladolid)</w:t>
            </w:r>
          </w:p>
          <w:p>
            <w:pPr>
              <w:pStyle w:val="TableParagraph"/>
              <w:numPr>
                <w:ilvl w:val="0"/>
                <w:numId w:val="3"/>
              </w:numPr>
              <w:tabs>
                <w:tab w:pos="828" w:val="left" w:leader="none"/>
              </w:tabs>
              <w:spacing w:line="240" w:lineRule="auto" w:before="1" w:after="0"/>
              <w:ind w:left="827" w:right="183" w:hanging="360"/>
              <w:jc w:val="left"/>
              <w:rPr>
                <w:sz w:val="20"/>
              </w:rPr>
            </w:pPr>
            <w:r>
              <w:rPr>
                <w:sz w:val="20"/>
              </w:rPr>
              <w:t>Estación</w:t>
            </w:r>
            <w:r>
              <w:rPr>
                <w:spacing w:val="-5"/>
                <w:sz w:val="20"/>
              </w:rPr>
              <w:t> </w:t>
            </w:r>
            <w:r>
              <w:rPr>
                <w:sz w:val="20"/>
              </w:rPr>
              <w:t>de</w:t>
            </w:r>
            <w:r>
              <w:rPr>
                <w:spacing w:val="-6"/>
                <w:sz w:val="20"/>
              </w:rPr>
              <w:t> </w:t>
            </w:r>
            <w:r>
              <w:rPr>
                <w:sz w:val="20"/>
              </w:rPr>
              <w:t>Viticultura</w:t>
            </w:r>
            <w:r>
              <w:rPr>
                <w:spacing w:val="-5"/>
                <w:sz w:val="20"/>
              </w:rPr>
              <w:t> </w:t>
            </w:r>
            <w:r>
              <w:rPr>
                <w:sz w:val="20"/>
              </w:rPr>
              <w:t>y</w:t>
            </w:r>
            <w:r>
              <w:rPr>
                <w:spacing w:val="-5"/>
                <w:sz w:val="20"/>
              </w:rPr>
              <w:t> </w:t>
            </w:r>
            <w:r>
              <w:rPr>
                <w:sz w:val="20"/>
              </w:rPr>
              <w:t>Enología</w:t>
            </w:r>
            <w:r>
              <w:rPr>
                <w:spacing w:val="-5"/>
                <w:sz w:val="20"/>
              </w:rPr>
              <w:t> </w:t>
            </w:r>
            <w:r>
              <w:rPr>
                <w:sz w:val="20"/>
              </w:rPr>
              <w:t>de</w:t>
            </w:r>
            <w:r>
              <w:rPr>
                <w:spacing w:val="-5"/>
                <w:sz w:val="20"/>
              </w:rPr>
              <w:t> </w:t>
            </w:r>
            <w:r>
              <w:rPr>
                <w:sz w:val="20"/>
              </w:rPr>
              <w:t>Villafranca</w:t>
            </w:r>
            <w:r>
              <w:rPr>
                <w:spacing w:val="-4"/>
                <w:sz w:val="20"/>
              </w:rPr>
              <w:t> </w:t>
            </w:r>
            <w:r>
              <w:rPr>
                <w:sz w:val="20"/>
              </w:rPr>
              <w:t>del</w:t>
            </w:r>
            <w:r>
              <w:rPr>
                <w:spacing w:val="-5"/>
                <w:sz w:val="20"/>
              </w:rPr>
              <w:t> </w:t>
            </w:r>
            <w:r>
              <w:rPr>
                <w:sz w:val="20"/>
              </w:rPr>
              <w:t>Penedés</w:t>
            </w:r>
            <w:r>
              <w:rPr>
                <w:spacing w:val="-5"/>
                <w:sz w:val="20"/>
              </w:rPr>
              <w:t> </w:t>
            </w:r>
            <w:r>
              <w:rPr>
                <w:sz w:val="20"/>
              </w:rPr>
              <w:t>Incavi.</w:t>
            </w:r>
            <w:r>
              <w:rPr>
                <w:spacing w:val="-5"/>
                <w:sz w:val="20"/>
              </w:rPr>
              <w:t> </w:t>
            </w:r>
            <w:r>
              <w:rPr>
                <w:sz w:val="20"/>
              </w:rPr>
              <w:t>Address:</w:t>
            </w:r>
            <w:r>
              <w:rPr>
                <w:spacing w:val="-5"/>
                <w:sz w:val="20"/>
              </w:rPr>
              <w:t> </w:t>
            </w:r>
            <w:r>
              <w:rPr>
                <w:sz w:val="20"/>
              </w:rPr>
              <w:t>C/</w:t>
            </w:r>
            <w:r>
              <w:rPr>
                <w:spacing w:val="-7"/>
                <w:sz w:val="20"/>
              </w:rPr>
              <w:t> </w:t>
            </w:r>
            <w:r>
              <w:rPr>
                <w:sz w:val="20"/>
              </w:rPr>
              <w:t>Amalia</w:t>
            </w:r>
            <w:r>
              <w:rPr>
                <w:spacing w:val="-5"/>
                <w:sz w:val="20"/>
              </w:rPr>
              <w:t> </w:t>
            </w:r>
            <w:r>
              <w:rPr>
                <w:sz w:val="20"/>
              </w:rPr>
              <w:t>Soler,</w:t>
            </w:r>
            <w:r>
              <w:rPr>
                <w:spacing w:val="-5"/>
                <w:sz w:val="20"/>
              </w:rPr>
              <w:t> </w:t>
            </w:r>
            <w:r>
              <w:rPr>
                <w:sz w:val="20"/>
              </w:rPr>
              <w:t>29 08720 Villafranca Del Penedés</w:t>
            </w:r>
            <w:r>
              <w:rPr>
                <w:spacing w:val="-6"/>
                <w:sz w:val="20"/>
              </w:rPr>
              <w:t> </w:t>
            </w:r>
            <w:r>
              <w:rPr>
                <w:sz w:val="20"/>
              </w:rPr>
              <w:t>(Barcelona)</w:t>
            </w:r>
          </w:p>
          <w:p>
            <w:pPr>
              <w:pStyle w:val="TableParagraph"/>
              <w:numPr>
                <w:ilvl w:val="0"/>
                <w:numId w:val="3"/>
              </w:numPr>
              <w:tabs>
                <w:tab w:pos="828" w:val="left" w:leader="none"/>
              </w:tabs>
              <w:spacing w:line="230" w:lineRule="exact" w:before="0" w:after="0"/>
              <w:ind w:left="827" w:right="0" w:hanging="361"/>
              <w:jc w:val="left"/>
              <w:rPr>
                <w:sz w:val="20"/>
              </w:rPr>
            </w:pPr>
            <w:r>
              <w:rPr>
                <w:sz w:val="20"/>
              </w:rPr>
              <w:t>Estación Enológica. Address: Pº de la Asunción, 24 30520 Jumilla</w:t>
            </w:r>
            <w:r>
              <w:rPr>
                <w:spacing w:val="-19"/>
                <w:sz w:val="20"/>
              </w:rPr>
              <w:t> </w:t>
            </w:r>
            <w:r>
              <w:rPr>
                <w:sz w:val="20"/>
              </w:rPr>
              <w:t>(Murcia)</w:t>
            </w:r>
          </w:p>
          <w:p>
            <w:pPr>
              <w:pStyle w:val="TableParagraph"/>
              <w:numPr>
                <w:ilvl w:val="0"/>
                <w:numId w:val="3"/>
              </w:numPr>
              <w:tabs>
                <w:tab w:pos="828" w:val="left" w:leader="none"/>
              </w:tabs>
              <w:spacing w:line="240" w:lineRule="auto" w:before="0" w:after="0"/>
              <w:ind w:left="827" w:right="202" w:hanging="360"/>
              <w:jc w:val="left"/>
              <w:rPr>
                <w:sz w:val="20"/>
              </w:rPr>
            </w:pPr>
            <w:r>
              <w:rPr>
                <w:sz w:val="20"/>
              </w:rPr>
              <w:t>Estación De Viticultura Y Enología De Alcazar De San Juan. Address: C/ General Benevent García, 25 13600 Alcazar De San Juan (Ciudad Real). OR: Estación De Viticultura Y Enología De Valdepeñas. Address: Crta. De Torrenueva, 2 13300 Valdepeñas (Ciudad</w:t>
            </w:r>
            <w:r>
              <w:rPr>
                <w:spacing w:val="-15"/>
                <w:sz w:val="20"/>
              </w:rPr>
              <w:t> </w:t>
            </w:r>
            <w:r>
              <w:rPr>
                <w:sz w:val="20"/>
              </w:rPr>
              <w:t>Real)</w:t>
            </w:r>
          </w:p>
          <w:p>
            <w:pPr>
              <w:pStyle w:val="TableParagraph"/>
              <w:numPr>
                <w:ilvl w:val="0"/>
                <w:numId w:val="3"/>
              </w:numPr>
              <w:tabs>
                <w:tab w:pos="828" w:val="left" w:leader="none"/>
              </w:tabs>
              <w:spacing w:line="240" w:lineRule="auto" w:before="0" w:after="0"/>
              <w:ind w:left="827" w:right="382" w:hanging="360"/>
              <w:jc w:val="left"/>
              <w:rPr>
                <w:sz w:val="20"/>
              </w:rPr>
            </w:pPr>
            <w:r>
              <w:rPr>
                <w:sz w:val="20"/>
              </w:rPr>
              <w:t>Laboratorio Agroalimentario De Tenerife. Address: Carretera Cuesta Taco, 94 38320 La</w:t>
            </w:r>
            <w:r>
              <w:rPr>
                <w:spacing w:val="-36"/>
                <w:sz w:val="20"/>
              </w:rPr>
              <w:t> </w:t>
            </w:r>
            <w:r>
              <w:rPr>
                <w:sz w:val="20"/>
              </w:rPr>
              <w:t>Cuesta (Tenerife) Laboratorio Agrario (ICIA). Address: Carretera El Boquerón s/n Valle de Guerra Apartado 60 38200 La Laguna</w:t>
            </w:r>
            <w:r>
              <w:rPr>
                <w:spacing w:val="-7"/>
                <w:sz w:val="20"/>
              </w:rPr>
              <w:t> </w:t>
            </w:r>
            <w:r>
              <w:rPr>
                <w:sz w:val="20"/>
              </w:rPr>
              <w:t>(Tenerife)</w:t>
            </w:r>
          </w:p>
          <w:p>
            <w:pPr>
              <w:pStyle w:val="TableParagraph"/>
              <w:numPr>
                <w:ilvl w:val="0"/>
                <w:numId w:val="3"/>
              </w:numPr>
              <w:tabs>
                <w:tab w:pos="828" w:val="left" w:leader="none"/>
              </w:tabs>
              <w:spacing w:line="240" w:lineRule="auto" w:before="0" w:after="0"/>
              <w:ind w:left="827" w:right="326" w:hanging="360"/>
              <w:jc w:val="left"/>
              <w:rPr>
                <w:sz w:val="20"/>
              </w:rPr>
            </w:pPr>
            <w:r>
              <w:rPr>
                <w:sz w:val="20"/>
              </w:rPr>
              <w:t>Laboratorio</w:t>
            </w:r>
            <w:r>
              <w:rPr>
                <w:spacing w:val="-5"/>
                <w:sz w:val="20"/>
              </w:rPr>
              <w:t> </w:t>
            </w:r>
            <w:r>
              <w:rPr>
                <w:sz w:val="20"/>
              </w:rPr>
              <w:t>Agroalimentario</w:t>
            </w:r>
            <w:r>
              <w:rPr>
                <w:spacing w:val="-4"/>
                <w:sz w:val="20"/>
              </w:rPr>
              <w:t> </w:t>
            </w:r>
            <w:r>
              <w:rPr>
                <w:sz w:val="20"/>
              </w:rPr>
              <w:t>Y</w:t>
            </w:r>
            <w:r>
              <w:rPr>
                <w:spacing w:val="-4"/>
                <w:sz w:val="20"/>
              </w:rPr>
              <w:t> </w:t>
            </w:r>
            <w:r>
              <w:rPr>
                <w:sz w:val="20"/>
              </w:rPr>
              <w:t>Estación</w:t>
            </w:r>
            <w:r>
              <w:rPr>
                <w:spacing w:val="-5"/>
                <w:sz w:val="20"/>
              </w:rPr>
              <w:t> </w:t>
            </w:r>
            <w:r>
              <w:rPr>
                <w:sz w:val="20"/>
              </w:rPr>
              <w:t>Enológica</w:t>
            </w:r>
            <w:r>
              <w:rPr>
                <w:spacing w:val="-4"/>
                <w:sz w:val="20"/>
              </w:rPr>
              <w:t> </w:t>
            </w:r>
            <w:r>
              <w:rPr>
                <w:sz w:val="20"/>
              </w:rPr>
              <w:t>Montilla.</w:t>
            </w:r>
            <w:r>
              <w:rPr>
                <w:spacing w:val="-4"/>
                <w:sz w:val="20"/>
              </w:rPr>
              <w:t> </w:t>
            </w:r>
            <w:r>
              <w:rPr>
                <w:sz w:val="20"/>
              </w:rPr>
              <w:t>Address:</w:t>
            </w:r>
            <w:r>
              <w:rPr>
                <w:spacing w:val="-4"/>
                <w:sz w:val="20"/>
              </w:rPr>
              <w:t> </w:t>
            </w:r>
            <w:r>
              <w:rPr>
                <w:sz w:val="20"/>
              </w:rPr>
              <w:t>Avda.</w:t>
            </w:r>
            <w:r>
              <w:rPr>
                <w:spacing w:val="-4"/>
                <w:sz w:val="20"/>
              </w:rPr>
              <w:t> </w:t>
            </w:r>
            <w:r>
              <w:rPr>
                <w:sz w:val="20"/>
              </w:rPr>
              <w:t>de</w:t>
            </w:r>
            <w:r>
              <w:rPr>
                <w:spacing w:val="-4"/>
                <w:sz w:val="20"/>
              </w:rPr>
              <w:t> </w:t>
            </w:r>
            <w:r>
              <w:rPr>
                <w:sz w:val="20"/>
              </w:rPr>
              <w:t>Málaga,</w:t>
            </w:r>
            <w:r>
              <w:rPr>
                <w:spacing w:val="-4"/>
                <w:sz w:val="20"/>
              </w:rPr>
              <w:t> </w:t>
            </w:r>
            <w:r>
              <w:rPr>
                <w:sz w:val="20"/>
              </w:rPr>
              <w:t>21</w:t>
            </w:r>
            <w:r>
              <w:rPr>
                <w:spacing w:val="-4"/>
                <w:sz w:val="20"/>
              </w:rPr>
              <w:t> </w:t>
            </w:r>
            <w:r>
              <w:rPr>
                <w:sz w:val="20"/>
              </w:rPr>
              <w:t>Apdo. 99 14550 Montilla. OR: Laboratorio Agroalimentario Y Estación Enológica De Jerez De La Frontera Address: C/ Córdoba, 3 11405 Jerez De La Frontera</w:t>
            </w:r>
            <w:r>
              <w:rPr>
                <w:spacing w:val="-17"/>
                <w:sz w:val="20"/>
              </w:rPr>
              <w:t> </w:t>
            </w:r>
            <w:r>
              <w:rPr>
                <w:sz w:val="20"/>
              </w:rPr>
              <w:t>(Cádiz)</w:t>
            </w:r>
          </w:p>
          <w:p>
            <w:pPr>
              <w:pStyle w:val="TableParagraph"/>
              <w:numPr>
                <w:ilvl w:val="0"/>
                <w:numId w:val="3"/>
              </w:numPr>
              <w:tabs>
                <w:tab w:pos="828" w:val="left" w:leader="none"/>
              </w:tabs>
              <w:spacing w:line="240" w:lineRule="auto" w:before="0" w:after="0"/>
              <w:ind w:left="827" w:right="356" w:hanging="360"/>
              <w:jc w:val="left"/>
              <w:rPr>
                <w:sz w:val="20"/>
              </w:rPr>
            </w:pPr>
            <w:r>
              <w:rPr>
                <w:sz w:val="20"/>
              </w:rPr>
              <w:t>Estación De Viticultura Y Enología De La Rioja Alavesa. Address: Pza. de San Juan, s/n 01300 Laguardia</w:t>
            </w:r>
            <w:r>
              <w:rPr>
                <w:spacing w:val="-2"/>
                <w:sz w:val="20"/>
              </w:rPr>
              <w:t> </w:t>
            </w:r>
            <w:r>
              <w:rPr>
                <w:sz w:val="20"/>
              </w:rPr>
              <w:t>(Álava)</w:t>
            </w:r>
          </w:p>
          <w:p>
            <w:pPr>
              <w:pStyle w:val="TableParagraph"/>
              <w:numPr>
                <w:ilvl w:val="0"/>
                <w:numId w:val="3"/>
              </w:numPr>
              <w:tabs>
                <w:tab w:pos="828" w:val="left" w:leader="none"/>
              </w:tabs>
              <w:spacing w:line="240" w:lineRule="auto" w:before="0" w:after="0"/>
              <w:ind w:left="827" w:right="478" w:hanging="360"/>
              <w:jc w:val="left"/>
              <w:rPr>
                <w:sz w:val="20"/>
              </w:rPr>
            </w:pPr>
            <w:r>
              <w:rPr>
                <w:sz w:val="20"/>
              </w:rPr>
              <w:t>Estación De Viticultura Y Enología De Requena. Address: Pza. Valentín García Tena, 1 46340 Requena</w:t>
            </w:r>
            <w:r>
              <w:rPr>
                <w:spacing w:val="-2"/>
                <w:sz w:val="20"/>
              </w:rPr>
              <w:t> </w:t>
            </w:r>
            <w:r>
              <w:rPr>
                <w:sz w:val="20"/>
              </w:rPr>
              <w:t>(Valencia)</w:t>
            </w:r>
          </w:p>
          <w:p>
            <w:pPr>
              <w:pStyle w:val="TableParagraph"/>
              <w:numPr>
                <w:ilvl w:val="0"/>
                <w:numId w:val="3"/>
              </w:numPr>
              <w:tabs>
                <w:tab w:pos="828" w:val="left" w:leader="none"/>
              </w:tabs>
              <w:spacing w:line="230" w:lineRule="exact" w:before="0" w:after="0"/>
              <w:ind w:left="827" w:right="0" w:hanging="361"/>
              <w:jc w:val="left"/>
              <w:rPr>
                <w:sz w:val="20"/>
              </w:rPr>
            </w:pPr>
            <w:r>
              <w:rPr>
                <w:sz w:val="20"/>
              </w:rPr>
              <w:t>Estación Enológica. Address: Crta. De Sevilla, 114 06200 Almendralejo</w:t>
            </w:r>
            <w:r>
              <w:rPr>
                <w:spacing w:val="-21"/>
                <w:sz w:val="20"/>
              </w:rPr>
              <w:t> </w:t>
            </w:r>
            <w:r>
              <w:rPr>
                <w:sz w:val="20"/>
              </w:rPr>
              <w:t>(Badajoz)</w:t>
            </w:r>
          </w:p>
          <w:p>
            <w:pPr>
              <w:pStyle w:val="TableParagraph"/>
              <w:numPr>
                <w:ilvl w:val="0"/>
                <w:numId w:val="3"/>
              </w:numPr>
              <w:tabs>
                <w:tab w:pos="828" w:val="left" w:leader="none"/>
              </w:tabs>
              <w:spacing w:line="240" w:lineRule="auto" w:before="0" w:after="0"/>
              <w:ind w:left="827" w:right="878" w:hanging="360"/>
              <w:jc w:val="left"/>
              <w:rPr>
                <w:sz w:val="20"/>
              </w:rPr>
            </w:pPr>
            <w:r>
              <w:rPr>
                <w:sz w:val="20"/>
              </w:rPr>
              <w:t>Estación De Viticultura Y Enología De Navarra. Address: C/ Valle de Orba, 34 31390 Olite (Navarra)</w:t>
            </w:r>
          </w:p>
          <w:p>
            <w:pPr>
              <w:pStyle w:val="TableParagraph"/>
              <w:numPr>
                <w:ilvl w:val="0"/>
                <w:numId w:val="3"/>
              </w:numPr>
              <w:tabs>
                <w:tab w:pos="828" w:val="left" w:leader="none"/>
              </w:tabs>
              <w:spacing w:line="230" w:lineRule="exact" w:before="3" w:after="0"/>
              <w:ind w:left="827" w:right="614" w:hanging="361"/>
              <w:jc w:val="left"/>
              <w:rPr>
                <w:sz w:val="20"/>
              </w:rPr>
            </w:pPr>
            <w:r>
              <w:rPr>
                <w:sz w:val="20"/>
              </w:rPr>
              <w:t>La</w:t>
            </w:r>
            <w:r>
              <w:rPr>
                <w:spacing w:val="-3"/>
                <w:sz w:val="20"/>
              </w:rPr>
              <w:t> </w:t>
            </w:r>
            <w:r>
              <w:rPr>
                <w:sz w:val="20"/>
              </w:rPr>
              <w:t>Rioja:</w:t>
            </w:r>
            <w:r>
              <w:rPr>
                <w:spacing w:val="-3"/>
                <w:sz w:val="20"/>
              </w:rPr>
              <w:t> </w:t>
            </w:r>
            <w:r>
              <w:rPr>
                <w:sz w:val="20"/>
              </w:rPr>
              <w:t>Estación</w:t>
            </w:r>
            <w:r>
              <w:rPr>
                <w:spacing w:val="-3"/>
                <w:sz w:val="20"/>
              </w:rPr>
              <w:t> </w:t>
            </w:r>
            <w:r>
              <w:rPr>
                <w:sz w:val="20"/>
              </w:rPr>
              <w:t>Enológica</w:t>
            </w:r>
            <w:r>
              <w:rPr>
                <w:spacing w:val="-3"/>
                <w:sz w:val="20"/>
              </w:rPr>
              <w:t> </w:t>
            </w:r>
            <w:r>
              <w:rPr>
                <w:sz w:val="20"/>
              </w:rPr>
              <w:t>De</w:t>
            </w:r>
            <w:r>
              <w:rPr>
                <w:spacing w:val="-3"/>
                <w:sz w:val="20"/>
              </w:rPr>
              <w:t> </w:t>
            </w:r>
            <w:r>
              <w:rPr>
                <w:sz w:val="20"/>
              </w:rPr>
              <w:t>Haro.</w:t>
            </w:r>
            <w:r>
              <w:rPr>
                <w:spacing w:val="-3"/>
                <w:sz w:val="20"/>
              </w:rPr>
              <w:t> </w:t>
            </w:r>
            <w:r>
              <w:rPr>
                <w:sz w:val="20"/>
              </w:rPr>
              <w:t>Address:</w:t>
            </w:r>
            <w:r>
              <w:rPr>
                <w:spacing w:val="-3"/>
                <w:sz w:val="20"/>
              </w:rPr>
              <w:t> </w:t>
            </w:r>
            <w:r>
              <w:rPr>
                <w:sz w:val="20"/>
              </w:rPr>
              <w:t>C/</w:t>
            </w:r>
            <w:r>
              <w:rPr>
                <w:spacing w:val="-3"/>
                <w:sz w:val="20"/>
              </w:rPr>
              <w:t> </w:t>
            </w:r>
            <w:r>
              <w:rPr>
                <w:sz w:val="20"/>
              </w:rPr>
              <w:t>Bretón</w:t>
            </w:r>
            <w:r>
              <w:rPr>
                <w:spacing w:val="-3"/>
                <w:sz w:val="20"/>
              </w:rPr>
              <w:t> </w:t>
            </w:r>
            <w:r>
              <w:rPr>
                <w:sz w:val="20"/>
              </w:rPr>
              <w:t>de</w:t>
            </w:r>
            <w:r>
              <w:rPr>
                <w:spacing w:val="-3"/>
                <w:sz w:val="20"/>
              </w:rPr>
              <w:t> </w:t>
            </w:r>
            <w:r>
              <w:rPr>
                <w:sz w:val="20"/>
              </w:rPr>
              <w:t>los</w:t>
            </w:r>
            <w:r>
              <w:rPr>
                <w:spacing w:val="-2"/>
                <w:sz w:val="20"/>
              </w:rPr>
              <w:t> </w:t>
            </w:r>
            <w:r>
              <w:rPr>
                <w:sz w:val="20"/>
              </w:rPr>
              <w:t>Herreros,</w:t>
            </w:r>
            <w:r>
              <w:rPr>
                <w:spacing w:val="-3"/>
                <w:sz w:val="20"/>
              </w:rPr>
              <w:t> </w:t>
            </w:r>
            <w:r>
              <w:rPr>
                <w:sz w:val="20"/>
              </w:rPr>
              <w:t>4</w:t>
            </w:r>
            <w:r>
              <w:rPr>
                <w:spacing w:val="-3"/>
                <w:sz w:val="20"/>
              </w:rPr>
              <w:t> </w:t>
            </w:r>
            <w:r>
              <w:rPr>
                <w:sz w:val="20"/>
              </w:rPr>
              <w:t>26200</w:t>
            </w:r>
            <w:r>
              <w:rPr>
                <w:spacing w:val="-4"/>
                <w:sz w:val="20"/>
              </w:rPr>
              <w:t> </w:t>
            </w:r>
            <w:r>
              <w:rPr>
                <w:sz w:val="20"/>
              </w:rPr>
              <w:t>Haro</w:t>
            </w:r>
            <w:r>
              <w:rPr>
                <w:spacing w:val="-3"/>
                <w:sz w:val="20"/>
              </w:rPr>
              <w:t> </w:t>
            </w:r>
            <w:r>
              <w:rPr>
                <w:sz w:val="20"/>
              </w:rPr>
              <w:t>(La Rioja)</w:t>
            </w:r>
          </w:p>
        </w:tc>
      </w:tr>
      <w:tr>
        <w:trPr>
          <w:trHeight w:val="2484" w:hRule="atLeast"/>
        </w:trPr>
        <w:tc>
          <w:tcPr>
            <w:tcW w:w="1336" w:type="dxa"/>
          </w:tcPr>
          <w:p>
            <w:pPr>
              <w:pStyle w:val="TableParagraph"/>
              <w:spacing w:before="8"/>
              <w:ind w:left="0"/>
              <w:rPr>
                <w:b/>
                <w:sz w:val="20"/>
              </w:rPr>
            </w:pPr>
          </w:p>
          <w:p>
            <w:pPr>
              <w:pStyle w:val="TableParagraph"/>
              <w:ind w:left="394"/>
              <w:rPr>
                <w:b/>
                <w:sz w:val="20"/>
              </w:rPr>
            </w:pPr>
            <w:bookmarkStart w:name="Spain" w:id="17"/>
            <w:bookmarkEnd w:id="17"/>
            <w:r>
              <w:rPr/>
            </w:r>
            <w:r>
              <w:rPr>
                <w:b/>
                <w:sz w:val="20"/>
              </w:rPr>
              <w:t>Spain</w:t>
            </w:r>
          </w:p>
        </w:tc>
        <w:tc>
          <w:tcPr>
            <w:tcW w:w="9690" w:type="dxa"/>
          </w:tcPr>
          <w:p>
            <w:pPr>
              <w:pStyle w:val="TableParagraph"/>
              <w:numPr>
                <w:ilvl w:val="0"/>
                <w:numId w:val="4"/>
              </w:numPr>
              <w:tabs>
                <w:tab w:pos="828" w:val="left" w:leader="none"/>
              </w:tabs>
              <w:spacing w:line="240" w:lineRule="auto" w:before="0" w:after="0"/>
              <w:ind w:left="827" w:right="447" w:hanging="360"/>
              <w:jc w:val="left"/>
              <w:rPr>
                <w:sz w:val="20"/>
              </w:rPr>
            </w:pPr>
            <w:r>
              <w:rPr>
                <w:sz w:val="20"/>
              </w:rPr>
              <w:t>Cantabria:</w:t>
            </w:r>
            <w:r>
              <w:rPr>
                <w:spacing w:val="-5"/>
                <w:sz w:val="20"/>
              </w:rPr>
              <w:t> </w:t>
            </w:r>
            <w:r>
              <w:rPr>
                <w:sz w:val="20"/>
              </w:rPr>
              <w:t>Laboratorio</w:t>
            </w:r>
            <w:r>
              <w:rPr>
                <w:spacing w:val="-5"/>
                <w:sz w:val="20"/>
              </w:rPr>
              <w:t> </w:t>
            </w:r>
            <w:r>
              <w:rPr>
                <w:sz w:val="20"/>
              </w:rPr>
              <w:t>Agroalimentario</w:t>
            </w:r>
            <w:r>
              <w:rPr>
                <w:spacing w:val="-6"/>
                <w:sz w:val="20"/>
              </w:rPr>
              <w:t> </w:t>
            </w:r>
            <w:r>
              <w:rPr>
                <w:sz w:val="20"/>
              </w:rPr>
              <w:t>De</w:t>
            </w:r>
            <w:r>
              <w:rPr>
                <w:spacing w:val="-5"/>
                <w:sz w:val="20"/>
              </w:rPr>
              <w:t> </w:t>
            </w:r>
            <w:r>
              <w:rPr>
                <w:sz w:val="20"/>
              </w:rPr>
              <w:t>Santander.</w:t>
            </w:r>
            <w:r>
              <w:rPr>
                <w:spacing w:val="-5"/>
                <w:sz w:val="20"/>
              </w:rPr>
              <w:t> </w:t>
            </w:r>
            <w:r>
              <w:rPr>
                <w:sz w:val="20"/>
              </w:rPr>
              <w:t>Address:</w:t>
            </w:r>
            <w:r>
              <w:rPr>
                <w:spacing w:val="-5"/>
                <w:sz w:val="20"/>
              </w:rPr>
              <w:t> </w:t>
            </w:r>
            <w:r>
              <w:rPr>
                <w:sz w:val="20"/>
              </w:rPr>
              <w:t>Prol.</w:t>
            </w:r>
            <w:r>
              <w:rPr>
                <w:spacing w:val="-4"/>
                <w:sz w:val="20"/>
              </w:rPr>
              <w:t> </w:t>
            </w:r>
            <w:r>
              <w:rPr>
                <w:sz w:val="20"/>
              </w:rPr>
              <w:t>Marqués</w:t>
            </w:r>
            <w:r>
              <w:rPr>
                <w:spacing w:val="-5"/>
                <w:sz w:val="20"/>
              </w:rPr>
              <w:t> </w:t>
            </w:r>
            <w:r>
              <w:rPr>
                <w:sz w:val="20"/>
              </w:rPr>
              <w:t>de</w:t>
            </w:r>
            <w:r>
              <w:rPr>
                <w:spacing w:val="-5"/>
                <w:sz w:val="20"/>
              </w:rPr>
              <w:t> </w:t>
            </w:r>
            <w:r>
              <w:rPr>
                <w:sz w:val="20"/>
              </w:rPr>
              <w:t>Hermida,</w:t>
            </w:r>
            <w:r>
              <w:rPr>
                <w:spacing w:val="-5"/>
                <w:sz w:val="20"/>
              </w:rPr>
              <w:t> </w:t>
            </w:r>
            <w:r>
              <w:rPr>
                <w:sz w:val="20"/>
              </w:rPr>
              <w:t>s/n 39071</w:t>
            </w:r>
            <w:r>
              <w:rPr>
                <w:spacing w:val="-1"/>
                <w:sz w:val="20"/>
              </w:rPr>
              <w:t> </w:t>
            </w:r>
            <w:r>
              <w:rPr>
                <w:sz w:val="20"/>
              </w:rPr>
              <w:t>Santander</w:t>
            </w:r>
          </w:p>
          <w:p>
            <w:pPr>
              <w:pStyle w:val="TableParagraph"/>
              <w:numPr>
                <w:ilvl w:val="0"/>
                <w:numId w:val="4"/>
              </w:numPr>
              <w:tabs>
                <w:tab w:pos="828" w:val="left" w:leader="none"/>
              </w:tabs>
              <w:spacing w:line="230" w:lineRule="exact" w:before="0" w:after="0"/>
              <w:ind w:left="827" w:right="0" w:hanging="361"/>
              <w:jc w:val="left"/>
              <w:rPr>
                <w:sz w:val="20"/>
              </w:rPr>
            </w:pPr>
            <w:r>
              <w:rPr>
                <w:sz w:val="20"/>
              </w:rPr>
              <w:t>Galicia: Estación De Viticultura Y Enología De Galicia. Address: 32427 Leiro</w:t>
            </w:r>
            <w:r>
              <w:rPr>
                <w:spacing w:val="-18"/>
                <w:sz w:val="20"/>
              </w:rPr>
              <w:t> </w:t>
            </w:r>
            <w:r>
              <w:rPr>
                <w:sz w:val="20"/>
              </w:rPr>
              <w:t>(Orense)</w:t>
            </w:r>
          </w:p>
          <w:p>
            <w:pPr>
              <w:pStyle w:val="TableParagraph"/>
              <w:numPr>
                <w:ilvl w:val="0"/>
                <w:numId w:val="4"/>
              </w:numPr>
              <w:tabs>
                <w:tab w:pos="828" w:val="left" w:leader="none"/>
              </w:tabs>
              <w:spacing w:line="240" w:lineRule="auto" w:before="0" w:after="0"/>
              <w:ind w:left="827" w:right="533" w:hanging="360"/>
              <w:jc w:val="left"/>
              <w:rPr>
                <w:sz w:val="20"/>
              </w:rPr>
            </w:pPr>
            <w:r>
              <w:rPr>
                <w:sz w:val="20"/>
              </w:rPr>
              <w:t>Madrid: Laboratorio Arbitral Agroalimentario. Address: Crta. De la Coruña, km. 10,700 28023 Madrid. OR: Laboratorio Enológico “El Encín”. Address: Instituto Madrileño de Investigaciones Agrarias y Alimentarias (IMIA). Address: Apdo. 127 28800 Alcalá De Henares</w:t>
            </w:r>
            <w:r>
              <w:rPr>
                <w:spacing w:val="-25"/>
                <w:sz w:val="20"/>
              </w:rPr>
              <w:t> </w:t>
            </w:r>
            <w:r>
              <w:rPr>
                <w:sz w:val="20"/>
              </w:rPr>
              <w:t>(Madrid)</w:t>
            </w:r>
          </w:p>
        </w:tc>
      </w:tr>
    </w:tbl>
    <w:p>
      <w:pPr>
        <w:spacing w:after="0" w:line="240" w:lineRule="auto"/>
        <w:jc w:val="left"/>
        <w:rPr>
          <w:sz w:val="20"/>
        </w:rPr>
        <w:sectPr>
          <w:pgSz w:w="11910" w:h="16840"/>
          <w:pgMar w:top="1440" w:bottom="280" w:left="0" w:right="0"/>
        </w:sectPr>
      </w:pPr>
    </w:p>
    <w:tbl>
      <w:tblPr>
        <w:tblW w:w="0" w:type="auto"/>
        <w:jc w:val="left"/>
        <w:tblInd w:w="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6"/>
        <w:gridCol w:w="9690"/>
      </w:tblGrid>
      <w:tr>
        <w:trPr>
          <w:trHeight w:val="460" w:hRule="atLeast"/>
        </w:trPr>
        <w:tc>
          <w:tcPr>
            <w:tcW w:w="1336" w:type="dxa"/>
          </w:tcPr>
          <w:p>
            <w:pPr>
              <w:pStyle w:val="TableParagraph"/>
              <w:spacing w:line="230" w:lineRule="exact" w:before="1"/>
              <w:ind w:left="138" w:right="112" w:firstLine="22"/>
              <w:rPr>
                <w:b/>
                <w:sz w:val="20"/>
              </w:rPr>
            </w:pPr>
            <w:r>
              <w:rPr>
                <w:b/>
                <w:sz w:val="20"/>
              </w:rPr>
              <w:t>Country of Production</w:t>
            </w:r>
          </w:p>
        </w:tc>
        <w:tc>
          <w:tcPr>
            <w:tcW w:w="9690" w:type="dxa"/>
          </w:tcPr>
          <w:p>
            <w:pPr>
              <w:pStyle w:val="TableParagraph"/>
              <w:spacing w:line="228" w:lineRule="exact"/>
              <w:ind w:left="3183" w:right="3178"/>
              <w:jc w:val="center"/>
              <w:rPr>
                <w:b/>
                <w:sz w:val="20"/>
              </w:rPr>
            </w:pPr>
            <w:r>
              <w:rPr>
                <w:b/>
                <w:sz w:val="20"/>
              </w:rPr>
              <w:t>Government Approved Authorities</w:t>
            </w:r>
          </w:p>
        </w:tc>
      </w:tr>
      <w:tr>
        <w:trPr>
          <w:trHeight w:val="919" w:hRule="atLeast"/>
        </w:trPr>
        <w:tc>
          <w:tcPr>
            <w:tcW w:w="1336" w:type="dxa"/>
          </w:tcPr>
          <w:p>
            <w:pPr>
              <w:pStyle w:val="TableParagraph"/>
              <w:spacing w:before="7"/>
              <w:ind w:left="0"/>
              <w:rPr>
                <w:b/>
                <w:sz w:val="20"/>
              </w:rPr>
            </w:pPr>
          </w:p>
          <w:p>
            <w:pPr>
              <w:pStyle w:val="TableParagraph"/>
              <w:ind w:left="339"/>
              <w:rPr>
                <w:b/>
                <w:sz w:val="20"/>
              </w:rPr>
            </w:pPr>
            <w:bookmarkStart w:name="Turkey" w:id="18"/>
            <w:bookmarkEnd w:id="18"/>
            <w:r>
              <w:rPr/>
            </w:r>
            <w:r>
              <w:rPr>
                <w:b/>
                <w:sz w:val="20"/>
              </w:rPr>
              <w:t>Turkey</w:t>
            </w:r>
          </w:p>
        </w:tc>
        <w:tc>
          <w:tcPr>
            <w:tcW w:w="9690" w:type="dxa"/>
          </w:tcPr>
          <w:p>
            <w:pPr>
              <w:pStyle w:val="TableParagraph"/>
              <w:spacing w:line="226" w:lineRule="exact"/>
              <w:rPr>
                <w:sz w:val="20"/>
              </w:rPr>
            </w:pPr>
            <w:r>
              <w:rPr>
                <w:sz w:val="20"/>
              </w:rPr>
              <w:t>TUTUN, TUTUN MAMULLERI Ve ALKOLLU İCKİLER PIYASASI DÜZENLEME KURULU (TAPDK)</w:t>
            </w:r>
          </w:p>
          <w:p>
            <w:pPr>
              <w:pStyle w:val="TableParagraph"/>
              <w:ind w:right="2271"/>
              <w:rPr>
                <w:sz w:val="20"/>
              </w:rPr>
            </w:pPr>
            <w:r>
              <w:rPr>
                <w:sz w:val="20"/>
              </w:rPr>
              <w:t>(Tobacco, Tobacco Products and Alcoholic Beverages Arrangement Organization) </w:t>
            </w:r>
            <w:hyperlink r:id="rId26">
              <w:r>
                <w:rPr>
                  <w:color w:val="0000FF"/>
                  <w:sz w:val="20"/>
                  <w:u w:val="single" w:color="0000FF"/>
                </w:rPr>
                <w:t>www.tapdk.gov.tr</w:t>
              </w:r>
            </w:hyperlink>
          </w:p>
        </w:tc>
      </w:tr>
      <w:tr>
        <w:trPr>
          <w:trHeight w:val="920" w:hRule="atLeast"/>
        </w:trPr>
        <w:tc>
          <w:tcPr>
            <w:tcW w:w="1336" w:type="dxa"/>
          </w:tcPr>
          <w:p>
            <w:pPr>
              <w:pStyle w:val="TableParagraph"/>
              <w:ind w:left="214" w:right="203"/>
              <w:jc w:val="center"/>
              <w:rPr>
                <w:b/>
                <w:sz w:val="20"/>
              </w:rPr>
            </w:pPr>
            <w:r>
              <w:rPr>
                <w:b/>
                <w:sz w:val="20"/>
              </w:rPr>
              <w:t>United States of America</w:t>
            </w:r>
          </w:p>
        </w:tc>
        <w:tc>
          <w:tcPr>
            <w:tcW w:w="9690" w:type="dxa"/>
          </w:tcPr>
          <w:p>
            <w:pPr>
              <w:pStyle w:val="TableParagraph"/>
              <w:ind w:right="170"/>
              <w:rPr>
                <w:sz w:val="20"/>
              </w:rPr>
            </w:pPr>
            <w:r>
              <w:rPr>
                <w:sz w:val="20"/>
              </w:rPr>
              <w:t>United States Alcohol and Tobacco Tax and Trade Bureau, Department of the Treasury National Revenue Center.</w:t>
            </w:r>
          </w:p>
          <w:p>
            <w:pPr>
              <w:pStyle w:val="TableParagraph"/>
              <w:spacing w:line="230" w:lineRule="exact"/>
              <w:rPr>
                <w:sz w:val="20"/>
              </w:rPr>
            </w:pPr>
            <w:r>
              <w:rPr>
                <w:sz w:val="20"/>
              </w:rPr>
              <w:t>Address: 550 Main Street, Room 8002 Cincinnati, Ohio 45202 Document Process and Analysis Section.</w:t>
            </w:r>
          </w:p>
        </w:tc>
      </w:tr>
    </w:tbl>
    <w:p>
      <w:pPr>
        <w:pStyle w:val="BodyText"/>
        <w:spacing w:before="6"/>
        <w:rPr>
          <w:b/>
          <w:sz w:val="11"/>
        </w:rPr>
      </w:pPr>
    </w:p>
    <w:p>
      <w:pPr>
        <w:spacing w:before="94"/>
        <w:ind w:left="2101" w:right="2047" w:firstLine="0"/>
        <w:jc w:val="center"/>
        <w:rPr>
          <w:sz w:val="20"/>
        </w:rPr>
      </w:pPr>
      <w:r>
        <w:rPr>
          <w:b/>
          <w:sz w:val="20"/>
        </w:rPr>
        <w:t>All other countries: </w:t>
      </w:r>
      <w:r>
        <w:rPr>
          <w:sz w:val="20"/>
        </w:rPr>
        <w:t>The customs and excise authority in the country of production.</w:t>
      </w:r>
    </w:p>
    <w:sectPr>
      <w:pgSz w:w="11910" w:h="16840"/>
      <w:pgMar w:top="14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Lucida Grande">
    <w:altName w:val="Lucida Grande"/>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3"/>
      <w:numFmt w:val="decimal"/>
      <w:lvlText w:val="%1."/>
      <w:lvlJc w:val="left"/>
      <w:pPr>
        <w:ind w:left="827" w:hanging="360"/>
        <w:jc w:val="left"/>
      </w:pPr>
      <w:rPr>
        <w:rFonts w:hint="default" w:ascii="Arial" w:hAnsi="Arial" w:eastAsia="Arial" w:cs="Arial"/>
        <w:spacing w:val="-1"/>
        <w:w w:val="100"/>
        <w:sz w:val="20"/>
        <w:szCs w:val="20"/>
      </w:rPr>
    </w:lvl>
    <w:lvl w:ilvl="1">
      <w:start w:val="0"/>
      <w:numFmt w:val="bullet"/>
      <w:lvlText w:val="•"/>
      <w:lvlJc w:val="left"/>
      <w:pPr>
        <w:ind w:left="170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78" w:hanging="360"/>
      </w:pPr>
      <w:rPr>
        <w:rFonts w:hint="default"/>
      </w:rPr>
    </w:lvl>
    <w:lvl w:ilvl="4">
      <w:start w:val="0"/>
      <w:numFmt w:val="bullet"/>
      <w:lvlText w:val="•"/>
      <w:lvlJc w:val="left"/>
      <w:pPr>
        <w:ind w:left="4364"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36" w:hanging="360"/>
      </w:pPr>
      <w:rPr>
        <w:rFonts w:hint="default"/>
      </w:rPr>
    </w:lvl>
    <w:lvl w:ilvl="7">
      <w:start w:val="0"/>
      <w:numFmt w:val="bullet"/>
      <w:lvlText w:val="•"/>
      <w:lvlJc w:val="left"/>
      <w:pPr>
        <w:ind w:left="7022" w:hanging="360"/>
      </w:pPr>
      <w:rPr>
        <w:rFonts w:hint="default"/>
      </w:rPr>
    </w:lvl>
    <w:lvl w:ilvl="8">
      <w:start w:val="0"/>
      <w:numFmt w:val="bullet"/>
      <w:lvlText w:val="•"/>
      <w:lvlJc w:val="left"/>
      <w:pPr>
        <w:ind w:left="7908" w:hanging="360"/>
      </w:pPr>
      <w:rPr>
        <w:rFonts w:hint="default"/>
      </w:rPr>
    </w:lvl>
  </w:abstractNum>
  <w:abstractNum w:abstractNumId="2">
    <w:multiLevelType w:val="hybridMultilevel"/>
    <w:lvl w:ilvl="0">
      <w:start w:val="10"/>
      <w:numFmt w:val="decimal"/>
      <w:lvlText w:val="%1."/>
      <w:lvlJc w:val="left"/>
      <w:pPr>
        <w:ind w:left="827" w:hanging="361"/>
        <w:jc w:val="left"/>
      </w:pPr>
      <w:rPr>
        <w:rFonts w:hint="default" w:ascii="Arial" w:hAnsi="Arial" w:eastAsia="Arial" w:cs="Arial"/>
        <w:spacing w:val="-1"/>
        <w:w w:val="100"/>
        <w:sz w:val="20"/>
        <w:szCs w:val="20"/>
      </w:rPr>
    </w:lvl>
    <w:lvl w:ilvl="1">
      <w:start w:val="0"/>
      <w:numFmt w:val="bullet"/>
      <w:lvlText w:val="•"/>
      <w:lvlJc w:val="left"/>
      <w:pPr>
        <w:ind w:left="170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478" w:hanging="361"/>
      </w:pPr>
      <w:rPr>
        <w:rFonts w:hint="default"/>
      </w:rPr>
    </w:lvl>
    <w:lvl w:ilvl="4">
      <w:start w:val="0"/>
      <w:numFmt w:val="bullet"/>
      <w:lvlText w:val="•"/>
      <w:lvlJc w:val="left"/>
      <w:pPr>
        <w:ind w:left="4364" w:hanging="361"/>
      </w:pPr>
      <w:rPr>
        <w:rFonts w:hint="default"/>
      </w:rPr>
    </w:lvl>
    <w:lvl w:ilvl="5">
      <w:start w:val="0"/>
      <w:numFmt w:val="bullet"/>
      <w:lvlText w:val="•"/>
      <w:lvlJc w:val="left"/>
      <w:pPr>
        <w:ind w:left="5250" w:hanging="361"/>
      </w:pPr>
      <w:rPr>
        <w:rFonts w:hint="default"/>
      </w:rPr>
    </w:lvl>
    <w:lvl w:ilvl="6">
      <w:start w:val="0"/>
      <w:numFmt w:val="bullet"/>
      <w:lvlText w:val="•"/>
      <w:lvlJc w:val="left"/>
      <w:pPr>
        <w:ind w:left="6136" w:hanging="361"/>
      </w:pPr>
      <w:rPr>
        <w:rFonts w:hint="default"/>
      </w:rPr>
    </w:lvl>
    <w:lvl w:ilvl="7">
      <w:start w:val="0"/>
      <w:numFmt w:val="bullet"/>
      <w:lvlText w:val="•"/>
      <w:lvlJc w:val="left"/>
      <w:pPr>
        <w:ind w:left="7022" w:hanging="361"/>
      </w:pPr>
      <w:rPr>
        <w:rFonts w:hint="default"/>
      </w:rPr>
    </w:lvl>
    <w:lvl w:ilvl="8">
      <w:start w:val="0"/>
      <w:numFmt w:val="bullet"/>
      <w:lvlText w:val="•"/>
      <w:lvlJc w:val="left"/>
      <w:pPr>
        <w:ind w:left="7908" w:hanging="361"/>
      </w:pPr>
      <w:rPr>
        <w:rFonts w:hint="default"/>
      </w:rPr>
    </w:lvl>
  </w:abstractNum>
  <w:abstractNum w:abstractNumId="1">
    <w:multiLevelType w:val="hybridMultilevel"/>
    <w:lvl w:ilvl="0">
      <w:start w:val="1"/>
      <w:numFmt w:val="decimal"/>
      <w:lvlText w:val="%1."/>
      <w:lvlJc w:val="left"/>
      <w:pPr>
        <w:ind w:left="827" w:hanging="361"/>
        <w:jc w:val="left"/>
      </w:pPr>
      <w:rPr>
        <w:rFonts w:hint="default" w:ascii="Arial" w:hAnsi="Arial" w:eastAsia="Arial" w:cs="Arial"/>
        <w:w w:val="100"/>
        <w:sz w:val="20"/>
        <w:szCs w:val="20"/>
      </w:rPr>
    </w:lvl>
    <w:lvl w:ilvl="1">
      <w:start w:val="0"/>
      <w:numFmt w:val="bullet"/>
      <w:lvlText w:val="•"/>
      <w:lvlJc w:val="left"/>
      <w:pPr>
        <w:ind w:left="170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478" w:hanging="361"/>
      </w:pPr>
      <w:rPr>
        <w:rFonts w:hint="default"/>
      </w:rPr>
    </w:lvl>
    <w:lvl w:ilvl="4">
      <w:start w:val="0"/>
      <w:numFmt w:val="bullet"/>
      <w:lvlText w:val="•"/>
      <w:lvlJc w:val="left"/>
      <w:pPr>
        <w:ind w:left="4364" w:hanging="361"/>
      </w:pPr>
      <w:rPr>
        <w:rFonts w:hint="default"/>
      </w:rPr>
    </w:lvl>
    <w:lvl w:ilvl="5">
      <w:start w:val="0"/>
      <w:numFmt w:val="bullet"/>
      <w:lvlText w:val="•"/>
      <w:lvlJc w:val="left"/>
      <w:pPr>
        <w:ind w:left="5250" w:hanging="361"/>
      </w:pPr>
      <w:rPr>
        <w:rFonts w:hint="default"/>
      </w:rPr>
    </w:lvl>
    <w:lvl w:ilvl="6">
      <w:start w:val="0"/>
      <w:numFmt w:val="bullet"/>
      <w:lvlText w:val="•"/>
      <w:lvlJc w:val="left"/>
      <w:pPr>
        <w:ind w:left="6136" w:hanging="361"/>
      </w:pPr>
      <w:rPr>
        <w:rFonts w:hint="default"/>
      </w:rPr>
    </w:lvl>
    <w:lvl w:ilvl="7">
      <w:start w:val="0"/>
      <w:numFmt w:val="bullet"/>
      <w:lvlText w:val="•"/>
      <w:lvlJc w:val="left"/>
      <w:pPr>
        <w:ind w:left="7022" w:hanging="361"/>
      </w:pPr>
      <w:rPr>
        <w:rFonts w:hint="default"/>
      </w:rPr>
    </w:lvl>
    <w:lvl w:ilvl="8">
      <w:start w:val="0"/>
      <w:numFmt w:val="bullet"/>
      <w:lvlText w:val="•"/>
      <w:lvlJc w:val="left"/>
      <w:pPr>
        <w:ind w:left="7908" w:hanging="361"/>
      </w:pPr>
      <w:rPr>
        <w:rFonts w:hint="default"/>
      </w:rPr>
    </w:lvl>
  </w:abstractNum>
  <w:abstractNum w:abstractNumId="0">
    <w:multiLevelType w:val="hybridMultilevel"/>
    <w:lvl w:ilvl="0">
      <w:start w:val="1"/>
      <w:numFmt w:val="decimal"/>
      <w:lvlText w:val="%1."/>
      <w:lvlJc w:val="left"/>
      <w:pPr>
        <w:ind w:left="827" w:hanging="361"/>
        <w:jc w:val="left"/>
      </w:pPr>
      <w:rPr>
        <w:rFonts w:hint="default" w:ascii="Arial" w:hAnsi="Arial" w:eastAsia="Arial" w:cs="Arial"/>
        <w:spacing w:val="-1"/>
        <w:w w:val="100"/>
        <w:sz w:val="20"/>
        <w:szCs w:val="20"/>
      </w:rPr>
    </w:lvl>
    <w:lvl w:ilvl="1">
      <w:start w:val="0"/>
      <w:numFmt w:val="bullet"/>
      <w:lvlText w:val="•"/>
      <w:lvlJc w:val="left"/>
      <w:pPr>
        <w:ind w:left="170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478" w:hanging="361"/>
      </w:pPr>
      <w:rPr>
        <w:rFonts w:hint="default"/>
      </w:rPr>
    </w:lvl>
    <w:lvl w:ilvl="4">
      <w:start w:val="0"/>
      <w:numFmt w:val="bullet"/>
      <w:lvlText w:val="•"/>
      <w:lvlJc w:val="left"/>
      <w:pPr>
        <w:ind w:left="4364" w:hanging="361"/>
      </w:pPr>
      <w:rPr>
        <w:rFonts w:hint="default"/>
      </w:rPr>
    </w:lvl>
    <w:lvl w:ilvl="5">
      <w:start w:val="0"/>
      <w:numFmt w:val="bullet"/>
      <w:lvlText w:val="•"/>
      <w:lvlJc w:val="left"/>
      <w:pPr>
        <w:ind w:left="5250" w:hanging="361"/>
      </w:pPr>
      <w:rPr>
        <w:rFonts w:hint="default"/>
      </w:rPr>
    </w:lvl>
    <w:lvl w:ilvl="6">
      <w:start w:val="0"/>
      <w:numFmt w:val="bullet"/>
      <w:lvlText w:val="•"/>
      <w:lvlJc w:val="left"/>
      <w:pPr>
        <w:ind w:left="6136" w:hanging="361"/>
      </w:pPr>
      <w:rPr>
        <w:rFonts w:hint="default"/>
      </w:rPr>
    </w:lvl>
    <w:lvl w:ilvl="7">
      <w:start w:val="0"/>
      <w:numFmt w:val="bullet"/>
      <w:lvlText w:val="•"/>
      <w:lvlJc w:val="left"/>
      <w:pPr>
        <w:ind w:left="7022" w:hanging="361"/>
      </w:pPr>
      <w:rPr>
        <w:rFonts w:hint="default"/>
      </w:rPr>
    </w:lvl>
    <w:lvl w:ilvl="8">
      <w:start w:val="0"/>
      <w:numFmt w:val="bullet"/>
      <w:lvlText w:val="•"/>
      <w:lvlJc w:val="left"/>
      <w:pPr>
        <w:ind w:left="7908" w:hanging="36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dielebensmittel.at/" TargetMode="External"/><Relationship Id="rId8" Type="http://schemas.openxmlformats.org/officeDocument/2006/relationships/hyperlink" Target="http://www.agricultura.gov.br/" TargetMode="External"/><Relationship Id="rId9" Type="http://schemas.openxmlformats.org/officeDocument/2006/relationships/hyperlink" Target="http://www.bsgold.bg/" TargetMode="External"/><Relationship Id="rId10" Type="http://schemas.openxmlformats.org/officeDocument/2006/relationships/hyperlink" Target="http://www.cra-arc.gc.ca/" TargetMode="External"/><Relationship Id="rId11" Type="http://schemas.openxmlformats.org/officeDocument/2006/relationships/hyperlink" Target="http://www.cognac.fr/" TargetMode="External"/><Relationship Id="rId12" Type="http://schemas.openxmlformats.org/officeDocument/2006/relationships/hyperlink" Target="http://www.armagnac.fr/" TargetMode="External"/><Relationship Id="rId13" Type="http://schemas.openxmlformats.org/officeDocument/2006/relationships/hyperlink" Target="http://www.douane.gouv.fr/" TargetMode="External"/><Relationship Id="rId14" Type="http://schemas.openxmlformats.org/officeDocument/2006/relationships/hyperlink" Target="http://www.labormerten.de/" TargetMode="External"/><Relationship Id="rId15" Type="http://schemas.openxmlformats.org/officeDocument/2006/relationships/hyperlink" Target="http://www.agenziadogane.it/wps/wcm/connect/ed/Agenzia/Uffici/Ricerca%2Bper%2Bzone%2Bgeografiche/" TargetMode="External"/><Relationship Id="rId16" Type="http://schemas.openxmlformats.org/officeDocument/2006/relationships/hyperlink" Target="http://www.economia.gob.mx/" TargetMode="External"/><Relationship Id="rId17" Type="http://schemas.openxmlformats.org/officeDocument/2006/relationships/hyperlink" Target="http://www.chamberofcommerce.pl/" TargetMode="External"/><Relationship Id="rId18" Type="http://schemas.openxmlformats.org/officeDocument/2006/relationships/hyperlink" Target="http://www.jugoinspekt.com/" TargetMode="External"/><Relationship Id="rId19" Type="http://schemas.openxmlformats.org/officeDocument/2006/relationships/hyperlink" Target="http://www.svssr.sk/" TargetMode="External"/><Relationship Id="rId20" Type="http://schemas.openxmlformats.org/officeDocument/2006/relationships/hyperlink" Target="http://www.sars.gov.za/" TargetMode="External"/><Relationship Id="rId21" Type="http://schemas.openxmlformats.org/officeDocument/2006/relationships/hyperlink" Target="http://www.licoresdealicante.com/" TargetMode="External"/><Relationship Id="rId22" Type="http://schemas.openxmlformats.org/officeDocument/2006/relationships/hyperlink" Target="http://www.brandydejerez.es/" TargetMode="External"/><Relationship Id="rId23" Type="http://schemas.openxmlformats.org/officeDocument/2006/relationships/hyperlink" Target="http://www.illesbalearsquialitat.es/" TargetMode="External"/><Relationship Id="rId24" Type="http://schemas.openxmlformats.org/officeDocument/2006/relationships/hyperlink" Target="http://www.orujodegalicia.org/" TargetMode="External"/><Relationship Id="rId25" Type="http://schemas.openxmlformats.org/officeDocument/2006/relationships/hyperlink" Target="http://www.gencat.net/darp" TargetMode="External"/><Relationship Id="rId26" Type="http://schemas.openxmlformats.org/officeDocument/2006/relationships/hyperlink" Target="http://www.tapdk.gov.tr/"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Communication</dc:creator>
  <dc:subject>MATURATION CERTIFICATES FOR SPIRITOUS BEVERAGES : APPROVED ISSUING AUTHORITIES</dc:subject>
  <dc:title>AUSTRALIAN CUSTOMS NOTICE NO. 2007/19</dc:title>
  <dcterms:created xsi:type="dcterms:W3CDTF">2020-12-09T22:50:37Z</dcterms:created>
  <dcterms:modified xsi:type="dcterms:W3CDTF">2020-12-09T22:50:37Z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2007-07-16T00:00:00Z</vt:filetime>
  </property>
  <property fmtid="{D5CDD505-2E9C-101B-9397-08002B2CF9AE}" pid="3" name="Creator">
    <vt:lpwstr>Acrobat PDFMaker 7.0.7 for Word</vt:lpwstr>
  </property>
  <property fmtid="{D5CDD505-2E9C-101B-9397-08002B2CF9AE}" pid="4" name="LastSaved">
    <vt:filetime>2020-12-09T00:00:00Z</vt:filetime>
  </property>
</Properties>
</file>