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Title"/>
        <w:ind w:right="2492" w:firstLine="0"/>
        <w:jc w:val="center"/>
      </w:pPr>
      <w:r>
        <w:rPr/>
        <w:drawing>
          <wp:anchor distT="0" distB="0" distL="0" distR="0" allowOverlap="1" layoutInCell="1" locked="0" behindDoc="0" simplePos="0" relativeHeight="15729152">
            <wp:simplePos x="0" y="0"/>
            <wp:positionH relativeFrom="page">
              <wp:posOffset>0</wp:posOffset>
            </wp:positionH>
            <wp:positionV relativeFrom="paragraph">
              <wp:posOffset>-1326539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r>
        <w:rPr>
          <w:u w:val="thick"/>
        </w:rPr>
        <w:t>AUSTRALIAN CUSTOMS NOTICE NO 2007/24</w:t>
      </w:r>
    </w:p>
    <w:p>
      <w:pPr>
        <w:pStyle w:val="BodyText"/>
        <w:spacing w:before="1"/>
        <w:rPr>
          <w:b/>
        </w:rPr>
      </w:pPr>
    </w:p>
    <w:p>
      <w:pPr>
        <w:pStyle w:val="Title"/>
        <w:spacing w:before="91"/>
        <w:ind w:left="4389"/>
      </w:pPr>
      <w:r>
        <w:rPr/>
        <w:t>Implementation of Credit Card Surcharge on accounts payable to Customs.</w:t>
      </w:r>
    </w:p>
    <w:p>
      <w:pPr>
        <w:pStyle w:val="BodyText"/>
        <w:rPr>
          <w:b/>
          <w:sz w:val="36"/>
        </w:rPr>
      </w:pPr>
    </w:p>
    <w:p>
      <w:pPr>
        <w:pStyle w:val="BodyText"/>
        <w:rPr>
          <w:b/>
          <w:sz w:val="36"/>
        </w:rPr>
      </w:pPr>
    </w:p>
    <w:p>
      <w:pPr>
        <w:pStyle w:val="BodyText"/>
        <w:spacing w:before="8"/>
        <w:rPr>
          <w:b/>
          <w:sz w:val="39"/>
        </w:rPr>
      </w:pPr>
    </w:p>
    <w:p>
      <w:pPr>
        <w:pStyle w:val="BodyText"/>
        <w:spacing w:before="1"/>
        <w:ind w:left="1701" w:right="1772"/>
      </w:pPr>
      <w:r>
        <w:rPr/>
        <w:t>From 1 July 2007, Customs will introduce a surcharge for all credit card payments. The surcharge recovers the merchant fees incurred by Customs from the Credit Card provider in line with the Reserve Bank of Australia reforms in August 2002.</w:t>
      </w:r>
    </w:p>
    <w:p>
      <w:pPr>
        <w:pStyle w:val="BodyText"/>
      </w:pPr>
    </w:p>
    <w:p>
      <w:pPr>
        <w:pStyle w:val="BodyText"/>
        <w:ind w:left="1701" w:right="1919"/>
      </w:pPr>
      <w:r>
        <w:rPr/>
        <w:t>Current transaction limits for credit card payments to Customs cashiers will be abolished, once the surcharge is introduced.</w:t>
      </w:r>
    </w:p>
    <w:p>
      <w:pPr>
        <w:pStyle w:val="BodyText"/>
      </w:pPr>
    </w:p>
    <w:p>
      <w:pPr>
        <w:pStyle w:val="BodyText"/>
        <w:spacing w:line="480" w:lineRule="auto"/>
        <w:ind w:left="1701" w:right="2103"/>
      </w:pPr>
      <w:r>
        <w:rPr/>
        <w:t>A surcharge has been payable for Internet and phone payments since 2004. The current rates for each card type are:</w:t>
      </w:r>
    </w:p>
    <w:p>
      <w:pPr>
        <w:pStyle w:val="ListParagraph"/>
        <w:numPr>
          <w:ilvl w:val="0"/>
          <w:numId w:val="1"/>
        </w:numPr>
        <w:tabs>
          <w:tab w:pos="2421" w:val="left" w:leader="none"/>
          <w:tab w:pos="2422" w:val="left" w:leader="none"/>
        </w:tabs>
        <w:spacing w:line="240" w:lineRule="auto" w:before="17" w:after="0"/>
        <w:ind w:left="2421" w:right="0" w:hanging="361"/>
        <w:jc w:val="left"/>
        <w:rPr>
          <w:sz w:val="24"/>
        </w:rPr>
      </w:pPr>
      <w:r>
        <w:rPr>
          <w:sz w:val="24"/>
        </w:rPr>
        <w:t>VISA 0.92</w:t>
      </w:r>
      <w:r>
        <w:rPr>
          <w:spacing w:val="-1"/>
          <w:sz w:val="24"/>
        </w:rPr>
        <w:t> </w:t>
      </w:r>
      <w:r>
        <w:rPr>
          <w:sz w:val="24"/>
        </w:rPr>
        <w:t>%</w:t>
      </w:r>
    </w:p>
    <w:p>
      <w:pPr>
        <w:pStyle w:val="ListParagraph"/>
        <w:numPr>
          <w:ilvl w:val="0"/>
          <w:numId w:val="1"/>
        </w:numPr>
        <w:tabs>
          <w:tab w:pos="2421" w:val="left" w:leader="none"/>
          <w:tab w:pos="2422" w:val="left" w:leader="none"/>
        </w:tabs>
        <w:spacing w:line="240" w:lineRule="auto" w:before="17" w:after="0"/>
        <w:ind w:left="2421" w:right="0" w:hanging="361"/>
        <w:jc w:val="left"/>
        <w:rPr>
          <w:sz w:val="24"/>
        </w:rPr>
      </w:pPr>
      <w:r>
        <w:rPr>
          <w:sz w:val="24"/>
        </w:rPr>
        <w:t>MasterCard</w:t>
      </w:r>
      <w:r>
        <w:rPr>
          <w:spacing w:val="-1"/>
          <w:sz w:val="24"/>
        </w:rPr>
        <w:t> </w:t>
      </w:r>
      <w:r>
        <w:rPr>
          <w:sz w:val="24"/>
        </w:rPr>
        <w:t>0.92%</w:t>
      </w:r>
    </w:p>
    <w:p>
      <w:pPr>
        <w:pStyle w:val="ListParagraph"/>
        <w:numPr>
          <w:ilvl w:val="0"/>
          <w:numId w:val="1"/>
        </w:numPr>
        <w:tabs>
          <w:tab w:pos="2421" w:val="left" w:leader="none"/>
          <w:tab w:pos="2422" w:val="left" w:leader="none"/>
        </w:tabs>
        <w:spacing w:line="240" w:lineRule="auto" w:before="15" w:after="0"/>
        <w:ind w:left="2421" w:right="0" w:hanging="361"/>
        <w:jc w:val="left"/>
        <w:rPr>
          <w:sz w:val="24"/>
        </w:rPr>
      </w:pPr>
      <w:r>
        <w:rPr>
          <w:sz w:val="24"/>
        </w:rPr>
        <w:t>AMEX</w:t>
      </w:r>
      <w:r>
        <w:rPr>
          <w:spacing w:val="-1"/>
          <w:sz w:val="24"/>
        </w:rPr>
        <w:t> </w:t>
      </w:r>
      <w:r>
        <w:rPr>
          <w:sz w:val="24"/>
        </w:rPr>
        <w:t>1.54%</w:t>
      </w:r>
    </w:p>
    <w:p>
      <w:pPr>
        <w:pStyle w:val="BodyText"/>
        <w:spacing w:before="10"/>
        <w:rPr>
          <w:sz w:val="23"/>
        </w:rPr>
      </w:pPr>
    </w:p>
    <w:p>
      <w:pPr>
        <w:pStyle w:val="BodyText"/>
        <w:spacing w:before="1"/>
        <w:ind w:left="1701" w:right="1917"/>
      </w:pPr>
      <w:r>
        <w:rPr/>
        <w:t>The amount will be calculated at the point of payment and will be added to the total amount due.</w:t>
      </w:r>
    </w:p>
    <w:p>
      <w:pPr>
        <w:pStyle w:val="BodyText"/>
        <w:rPr>
          <w:sz w:val="26"/>
        </w:rPr>
      </w:pPr>
    </w:p>
    <w:p>
      <w:pPr>
        <w:pStyle w:val="BodyText"/>
        <w:spacing w:before="11"/>
        <w:rPr>
          <w:sz w:val="21"/>
        </w:rPr>
      </w:pPr>
    </w:p>
    <w:p>
      <w:pPr>
        <w:pStyle w:val="BodyText"/>
        <w:ind w:left="1701"/>
      </w:pPr>
      <w:r>
        <w:rPr/>
        <w:t>Any enquiries relating to this notice may be directed to </w:t>
      </w:r>
      <w:hyperlink r:id="rId6">
        <w:r>
          <w:rPr>
            <w:color w:val="0000FF"/>
            <w:u w:val="single" w:color="0000FF"/>
          </w:rPr>
          <w:t>FSHD@customs.gov.au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92"/>
        <w:ind w:left="1701"/>
      </w:pPr>
      <w:r>
        <w:rPr/>
        <w:t>Chris Ramsden</w:t>
      </w:r>
    </w:p>
    <w:p>
      <w:pPr>
        <w:pStyle w:val="BodyText"/>
        <w:ind w:left="1701" w:right="7401"/>
      </w:pPr>
      <w:r>
        <w:rPr/>
        <w:t>A/g Chief Financial Officer Canberra ACT</w:t>
      </w:r>
    </w:p>
    <w:p>
      <w:pPr>
        <w:pStyle w:val="BodyText"/>
        <w:ind w:left="1701"/>
      </w:pPr>
      <w:r>
        <w:rPr/>
        <w:t>May 2007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r>
        <w:rPr/>
        <w:drawing>
          <wp:anchor distT="0" distB="0" distL="0" distR="0" allowOverlap="1" layoutInCell="1" locked="0" behindDoc="0" simplePos="0" relativeHeight="0">
            <wp:simplePos x="0" y="0"/>
            <wp:positionH relativeFrom="page">
              <wp:posOffset>5528309</wp:posOffset>
            </wp:positionH>
            <wp:positionV relativeFrom="paragraph">
              <wp:posOffset>222713</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4"/>
        <w:szCs w:val="24"/>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Title" w:type="paragraph">
    <w:name w:val="Title"/>
    <w:basedOn w:val="Normal"/>
    <w:uiPriority w:val="1"/>
    <w:qFormat/>
    <w:pPr>
      <w:spacing w:before="90"/>
      <w:ind w:left="2495" w:right="1820" w:hanging="2552"/>
    </w:pPr>
    <w:rPr>
      <w:rFonts w:ascii="Arial" w:hAnsi="Arial" w:eastAsia="Arial" w:cs="Arial"/>
      <w:b/>
      <w:bCs/>
      <w:sz w:val="32"/>
      <w:szCs w:val="32"/>
    </w:rPr>
  </w:style>
  <w:style w:styleId="ListParagraph" w:type="paragraph">
    <w:name w:val="List Paragraph"/>
    <w:basedOn w:val="Normal"/>
    <w:uiPriority w:val="1"/>
    <w:qFormat/>
    <w:pPr>
      <w:spacing w:before="15"/>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FSHD@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Implementation of Credit Card Surcharge on accounts payable to Customs.</dc:subject>
  <dc:title>AUSTRALIAN CUSTOMS NOTICE NO 2007/24</dc:title>
  <dcterms:created xsi:type="dcterms:W3CDTF">2020-12-09T22:53:19Z</dcterms:created>
  <dcterms:modified xsi:type="dcterms:W3CDTF">2020-12-09T22:53:19Z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LastSaved">
    <vt:filetime>2020-12-09T00:00:00Z</vt:filetime>
  </property>
</Properties>
</file>