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3"/>
        </w:rPr>
      </w:pPr>
    </w:p>
    <w:p>
      <w:pPr>
        <w:pStyle w:val="Title"/>
        <w:spacing w:after="21"/>
        <w:ind w:right="2884"/>
      </w:pPr>
      <w:r>
        <w:rPr/>
        <w:drawing>
          <wp:anchor distT="0" distB="0" distL="0" distR="0" allowOverlap="1" layoutInCell="1" locked="0" behindDoc="0" simplePos="0" relativeHeight="15729664">
            <wp:simplePos x="0" y="0"/>
            <wp:positionH relativeFrom="page">
              <wp:posOffset>0</wp:posOffset>
            </wp:positionH>
            <wp:positionV relativeFrom="paragraph">
              <wp:posOffset>-1043408</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33 " w:id="1"/>
      <w:bookmarkEnd w:id="1"/>
      <w:r>
        <w:rPr>
          <w:b w:val="0"/>
        </w:rPr>
      </w:r>
      <w:r>
        <w:rPr/>
        <w:t>AUSTRALIAN CUSTOMS NOTICE NO. 2007/33 </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Application for Sole Trader Broker’s Lic" w:id="2"/>
      <w:bookmarkEnd w:id="2"/>
      <w:r>
        <w:rPr>
          <w:b w:val="0"/>
        </w:rPr>
      </w:r>
      <w:r>
        <w:rPr/>
        <w:t>Application for Sole Trader Broker’s Licence</w:t>
      </w:r>
    </w:p>
    <w:p>
      <w:pPr>
        <w:pStyle w:val="BodyText"/>
        <w:rPr>
          <w:b/>
          <w:sz w:val="30"/>
        </w:rPr>
      </w:pPr>
    </w:p>
    <w:p>
      <w:pPr>
        <w:pStyle w:val="BodyText"/>
        <w:spacing w:before="173"/>
        <w:ind w:left="1701" w:right="2051"/>
      </w:pPr>
      <w:r>
        <w:rPr/>
        <w:t>Under S183CA of the Customs 1901, a nominee customs broker may apply for a sole trader broker’s licence. Applications must be supported by the following documents:</w:t>
      </w:r>
    </w:p>
    <w:p>
      <w:pPr>
        <w:pStyle w:val="BodyText"/>
        <w:spacing w:before="11"/>
        <w:rPr>
          <w:sz w:val="19"/>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Application for Customs Brokers licence (Form</w:t>
      </w:r>
      <w:r>
        <w:rPr>
          <w:spacing w:val="-8"/>
          <w:sz w:val="20"/>
        </w:rPr>
        <w:t> </w:t>
      </w:r>
      <w:r>
        <w:rPr>
          <w:sz w:val="20"/>
        </w:rPr>
        <w:t>B738);</w:t>
      </w:r>
    </w:p>
    <w:p>
      <w:pPr>
        <w:pStyle w:val="ListParagraph"/>
        <w:numPr>
          <w:ilvl w:val="0"/>
          <w:numId w:val="1"/>
        </w:numPr>
        <w:tabs>
          <w:tab w:pos="2421" w:val="left" w:leader="none"/>
          <w:tab w:pos="2422" w:val="left" w:leader="none"/>
        </w:tabs>
        <w:spacing w:line="240" w:lineRule="auto" w:before="1" w:after="0"/>
        <w:ind w:left="2421" w:right="0" w:hanging="361"/>
        <w:jc w:val="left"/>
        <w:rPr>
          <w:sz w:val="20"/>
        </w:rPr>
      </w:pPr>
      <w:r>
        <w:rPr>
          <w:sz w:val="20"/>
        </w:rPr>
        <w:t>Consent to Obtain Personal Information (Form</w:t>
      </w:r>
      <w:r>
        <w:rPr>
          <w:spacing w:val="-7"/>
          <w:sz w:val="20"/>
        </w:rPr>
        <w:t> </w:t>
      </w:r>
      <w:r>
        <w:rPr>
          <w:sz w:val="20"/>
        </w:rPr>
        <w:t>B195);</w:t>
      </w:r>
    </w:p>
    <w:p>
      <w:pPr>
        <w:pStyle w:val="ListParagraph"/>
        <w:numPr>
          <w:ilvl w:val="0"/>
          <w:numId w:val="1"/>
        </w:numPr>
        <w:tabs>
          <w:tab w:pos="2421" w:val="left" w:leader="none"/>
          <w:tab w:pos="2422" w:val="left" w:leader="none"/>
        </w:tabs>
        <w:spacing w:line="230" w:lineRule="exact" w:before="0" w:after="0"/>
        <w:ind w:left="2421" w:right="0" w:hanging="361"/>
        <w:jc w:val="left"/>
        <w:rPr>
          <w:sz w:val="20"/>
        </w:rPr>
      </w:pPr>
      <w:r>
        <w:rPr>
          <w:sz w:val="20"/>
        </w:rPr>
        <w:t>Evidence of Identity that totals 100 points or more;</w:t>
      </w:r>
      <w:r>
        <w:rPr>
          <w:spacing w:val="-11"/>
          <w:sz w:val="20"/>
        </w:rPr>
        <w:t> </w:t>
      </w:r>
      <w:r>
        <w:rPr>
          <w:sz w:val="20"/>
        </w:rPr>
        <w:t>and</w:t>
      </w:r>
    </w:p>
    <w:p>
      <w:pPr>
        <w:pStyle w:val="ListParagraph"/>
        <w:numPr>
          <w:ilvl w:val="0"/>
          <w:numId w:val="1"/>
        </w:numPr>
        <w:tabs>
          <w:tab w:pos="2421" w:val="left" w:leader="none"/>
          <w:tab w:pos="2422" w:val="left" w:leader="none"/>
        </w:tabs>
        <w:spacing w:line="230" w:lineRule="exact" w:before="0" w:after="0"/>
        <w:ind w:left="2421" w:right="0" w:hanging="361"/>
        <w:jc w:val="left"/>
        <w:rPr>
          <w:sz w:val="20"/>
        </w:rPr>
      </w:pPr>
      <w:r>
        <w:rPr>
          <w:sz w:val="20"/>
        </w:rPr>
        <w:t>Evidence of the applicant’s financial</w:t>
      </w:r>
      <w:r>
        <w:rPr>
          <w:spacing w:val="-8"/>
          <w:sz w:val="20"/>
        </w:rPr>
        <w:t> </w:t>
      </w:r>
      <w:r>
        <w:rPr>
          <w:sz w:val="20"/>
        </w:rPr>
        <w:t>standing.</w:t>
      </w:r>
    </w:p>
    <w:p>
      <w:pPr>
        <w:pStyle w:val="BodyText"/>
        <w:spacing w:before="1"/>
      </w:pPr>
    </w:p>
    <w:p>
      <w:pPr>
        <w:pStyle w:val="BodyText"/>
        <w:ind w:left="1701" w:right="1806"/>
      </w:pPr>
      <w:r>
        <w:rPr/>
        <w:t>This evidence of financial standing may be in the form of certified balance sheets, profit and loss statements, financial references, evidence of any overdraft facility or any other official documentation that would further demonstrate that the applicant will be operating from a sound financial base.</w:t>
      </w:r>
    </w:p>
    <w:p>
      <w:pPr>
        <w:pStyle w:val="BodyText"/>
        <w:spacing w:before="11"/>
        <w:rPr>
          <w:sz w:val="19"/>
        </w:rPr>
      </w:pPr>
    </w:p>
    <w:p>
      <w:pPr>
        <w:pStyle w:val="BodyText"/>
        <w:ind w:left="1701" w:right="2251"/>
      </w:pPr>
      <w:r>
        <w:rPr/>
        <w:t>An applicant for a sole trader broker’s licence should also consider taking out professional indemnity insurance. Evidence of the policy should be forwarded with the application.</w:t>
      </w:r>
    </w:p>
    <w:p>
      <w:pPr>
        <w:pStyle w:val="BodyText"/>
      </w:pPr>
    </w:p>
    <w:p>
      <w:pPr>
        <w:pStyle w:val="BodyText"/>
        <w:ind w:left="1701" w:right="1851"/>
      </w:pPr>
      <w:r>
        <w:rPr/>
        <w:t>Following receipt of this documentation, an Australian Customs Notice (ACN) will be published notifying that an applicant has applied to be licensed as a sole trader. The ACN will seek comment within fourteen days and allows individuals or companies to lodge representations with Customs in regard to an application.</w:t>
      </w:r>
    </w:p>
    <w:p>
      <w:pPr>
        <w:pStyle w:val="BodyText"/>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30"/>
        </w:rPr>
      </w:pPr>
    </w:p>
    <w:p>
      <w:pPr>
        <w:pStyle w:val="BodyText"/>
        <w:ind w:left="1701" w:right="1884"/>
      </w:pPr>
      <w:r>
        <w:rPr/>
        <w:t>Appropriate integrity checks will be performed following receipt of the application and a signed Consent to Obtain Personal Information form.</w:t>
      </w:r>
    </w:p>
    <w:p>
      <w:pPr>
        <w:pStyle w:val="BodyText"/>
      </w:pPr>
    </w:p>
    <w:p>
      <w:pPr>
        <w:pStyle w:val="BodyText"/>
        <w:ind w:left="1701" w:right="2151"/>
      </w:pPr>
      <w:r>
        <w:rPr/>
        <w:t>The application will then be examined by the National Customs Brokers Licensing Advisory Committee (the Committee) which has the responsibility of recommending to the Chief Executive Officer of Customs (CEO) whether or not the licence should be granted.</w:t>
      </w:r>
    </w:p>
    <w:p>
      <w:pPr>
        <w:pStyle w:val="BodyText"/>
        <w:spacing w:before="1"/>
      </w:pPr>
    </w:p>
    <w:p>
      <w:pPr>
        <w:pStyle w:val="BodyText"/>
        <w:ind w:left="1701"/>
      </w:pPr>
      <w:r>
        <w:rPr/>
        <w:t>The Committee will then make a recommendation to the CEO.</w:t>
      </w:r>
    </w:p>
    <w:p>
      <w:pPr>
        <w:pStyle w:val="BodyText"/>
        <w:spacing w:before="11"/>
        <w:rPr>
          <w:sz w:val="19"/>
        </w:rPr>
      </w:pPr>
    </w:p>
    <w:p>
      <w:pPr>
        <w:pStyle w:val="BodyText"/>
        <w:ind w:left="1701" w:right="1794"/>
      </w:pPr>
      <w:r>
        <w:rPr/>
        <w:t>Any questions regarding the process should be directed to Broker Licensing on (02) 6275 5784 or by email at </w:t>
      </w:r>
      <w:hyperlink r:id="rId6">
        <w:r>
          <w:rPr>
            <w:color w:val="0000FF"/>
            <w:u w:val="single" w:color="0000FF"/>
          </w:rPr>
          <w:t>brokers.licensing@customs.gov.au</w:t>
        </w:r>
      </w:hyperlink>
      <w:r>
        <w:rPr/>
        <w: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198"/>
      </w:pPr>
      <w:r>
        <w:rPr/>
        <w:t>Sharon Nyakuengama A/g National Director Compliance</w:t>
      </w:r>
    </w:p>
    <w:p>
      <w:pPr>
        <w:pStyle w:val="BodyText"/>
        <w:spacing w:line="230" w:lineRule="exact"/>
        <w:ind w:left="1701"/>
      </w:pPr>
      <w:r>
        <w:rPr/>
        <w:t>for</w:t>
      </w:r>
    </w:p>
    <w:p>
      <w:pPr>
        <w:pStyle w:val="BodyText"/>
        <w:spacing w:line="364" w:lineRule="auto"/>
        <w:ind w:left="1922" w:right="8154" w:hanging="221"/>
      </w:pPr>
      <w:r>
        <w:rPr/>
        <w:t>Chief Executive Officer June 2007</w:t>
      </w:r>
    </w:p>
    <w:p>
      <w:pPr>
        <w:pStyle w:val="BodyText"/>
      </w:pPr>
    </w:p>
    <w:p>
      <w:pPr>
        <w:pStyle w:val="BodyText"/>
      </w:pPr>
    </w:p>
    <w:p>
      <w:pPr>
        <w:pStyle w:val="BodyText"/>
      </w:pPr>
    </w:p>
    <w:p>
      <w:pPr>
        <w:pStyle w:val="BodyText"/>
      </w:pPr>
    </w:p>
    <w:p>
      <w:pPr>
        <w:pStyle w:val="BodyText"/>
        <w:spacing w:before="11"/>
        <w:rPr>
          <w:sz w:val="17"/>
        </w:rPr>
      </w:pPr>
      <w:r>
        <w:rPr/>
        <w:drawing>
          <wp:anchor distT="0" distB="0" distL="0" distR="0" allowOverlap="1" layoutInCell="1" locked="0" behindDoc="0" simplePos="0" relativeHeight="1">
            <wp:simplePos x="0" y="0"/>
            <wp:positionH relativeFrom="page">
              <wp:posOffset>5557265</wp:posOffset>
            </wp:positionH>
            <wp:positionV relativeFrom="paragraph">
              <wp:posOffset>156054</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0"/>
      </w:pPr>
      <w:rPr>
        <w:rFonts w:hint="default" w:ascii="Arial" w:hAnsi="Arial" w:eastAsia="Arial" w:cs="Arial"/>
        <w:w w:val="80"/>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5" w:hanging="360"/>
      </w:pPr>
      <w:rPr>
        <w:rFonts w:hint="default"/>
      </w:rPr>
    </w:lvl>
    <w:lvl w:ilvl="4">
      <w:start w:val="0"/>
      <w:numFmt w:val="bullet"/>
      <w:lvlText w:val="•"/>
      <w:lvlJc w:val="left"/>
      <w:pPr>
        <w:ind w:left="6213" w:hanging="360"/>
      </w:pPr>
      <w:rPr>
        <w:rFonts w:hint="default"/>
      </w:rPr>
    </w:lvl>
    <w:lvl w:ilvl="5">
      <w:start w:val="0"/>
      <w:numFmt w:val="bullet"/>
      <w:lvlText w:val="•"/>
      <w:lvlJc w:val="left"/>
      <w:pPr>
        <w:ind w:left="7162" w:hanging="360"/>
      </w:pPr>
      <w:rPr>
        <w:rFonts w:hint="default"/>
      </w:rPr>
    </w:lvl>
    <w:lvl w:ilvl="6">
      <w:start w:val="0"/>
      <w:numFmt w:val="bullet"/>
      <w:lvlText w:val="•"/>
      <w:lvlJc w:val="left"/>
      <w:pPr>
        <w:ind w:left="8110" w:hanging="360"/>
      </w:pPr>
      <w:rPr>
        <w:rFonts w:hint="default"/>
      </w:rPr>
    </w:lvl>
    <w:lvl w:ilvl="7">
      <w:start w:val="0"/>
      <w:numFmt w:val="bullet"/>
      <w:lvlText w:val="•"/>
      <w:lvlJc w:val="left"/>
      <w:pPr>
        <w:ind w:left="9059" w:hanging="360"/>
      </w:pPr>
      <w:rPr>
        <w:rFonts w:hint="default"/>
      </w:rPr>
    </w:lvl>
    <w:lvl w:ilvl="8">
      <w:start w:val="0"/>
      <w:numFmt w:val="bullet"/>
      <w:lvlText w:val="•"/>
      <w:lvlJc w:val="left"/>
      <w:pPr>
        <w:ind w:left="1000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6" w:right="2883"/>
      <w:jc w:val="center"/>
    </w:pPr>
    <w:rPr>
      <w:rFonts w:ascii="Arial" w:hAnsi="Arial" w:eastAsia="Arial" w:cs="Arial"/>
      <w:b/>
      <w:bCs/>
      <w:sz w:val="28"/>
      <w:szCs w:val="28"/>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Sole Trader Broker's Licence</dc:subject>
  <dc:title>AUSTRALIAN CUSTOMS NOTICE NO. 2007/33</dc:title>
  <dcterms:created xsi:type="dcterms:W3CDTF">2020-12-09T22:56:41Z</dcterms:created>
  <dcterms:modified xsi:type="dcterms:W3CDTF">2020-12-09T22:56:41Z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2007-06-22T00:00:00Z</vt:filetime>
  </property>
  <property fmtid="{D5CDD505-2E9C-101B-9397-08002B2CF9AE}" pid="3" name="Creator">
    <vt:lpwstr>Acrobat PDFMaker 7.0 for Word</vt:lpwstr>
  </property>
  <property fmtid="{D5CDD505-2E9C-101B-9397-08002B2CF9AE}" pid="4" name="LastSaved">
    <vt:filetime>2020-12-09T00:00:00Z</vt:filetime>
  </property>
</Properties>
</file>