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before="232" w:after="19"/>
        <w:ind w:left="2887" w:right="2883" w:firstLine="0"/>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-1161899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8/04" w:id="1"/>
      <w:bookmarkEnd w:id="1"/>
      <w:r>
        <w:rPr>
          <w:b w:val="0"/>
        </w:rPr>
      </w:r>
      <w:r>
        <w:rPr/>
        <w:t>AUSTRALIAN CUSTOMS NOTICE NO. 2008/04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8"/>
        <w:rPr>
          <w:b/>
          <w:sz w:val="24"/>
        </w:rPr>
      </w:pPr>
    </w:p>
    <w:p>
      <w:pPr>
        <w:pStyle w:val="Title"/>
      </w:pPr>
      <w:r>
        <w:rPr/>
        <w:t>Revocation of Customs Notice No. 1 (2007) - certain steel wire imported under the Thailand-Australia Free Trade Agreement</w:t>
      </w:r>
    </w:p>
    <w:p>
      <w:pPr>
        <w:pStyle w:val="BodyText"/>
        <w:spacing w:before="228"/>
        <w:ind w:left="1701" w:right="1822"/>
      </w:pPr>
      <w:r>
        <w:rPr/>
        <w:t>Customs Tariff Proposal (No. 2) 2007 was tabled in Parliament on 31 May 2007. The Proposal removed the 4% customs duty applicable to “low relaxation prestressed concrete steel wire, ribbed or indented” classified to subheading 7217.10.00 of the </w:t>
      </w:r>
      <w:r>
        <w:rPr>
          <w:i/>
        </w:rPr>
        <w:t>Customs Tariff Act 1995 </w:t>
      </w:r>
      <w:r>
        <w:rPr/>
        <w:t>(the Tariff) and imported under the Thailand-Australia Free Trade Agreement (TAFTA). These alterations took effect on 1 June 2007. (ACN 2007/27 refers).</w:t>
      </w:r>
    </w:p>
    <w:p>
      <w:pPr>
        <w:pStyle w:val="BodyText"/>
        <w:spacing w:before="11"/>
        <w:rPr>
          <w:sz w:val="19"/>
        </w:rPr>
      </w:pPr>
    </w:p>
    <w:p>
      <w:pPr>
        <w:pStyle w:val="BodyText"/>
        <w:ind w:left="1701" w:right="1741"/>
        <w:jc w:val="both"/>
      </w:pPr>
      <w:r>
        <w:rPr/>
        <w:t>To maintain the effect of the Tariff Proposal after the prorogation of Parliament in October 2007, Customs Tariff Notice No. 1 (2007) was published in Special Commonwealth Gazette No. S205 of 16 October 2007.</w:t>
      </w:r>
    </w:p>
    <w:p>
      <w:pPr>
        <w:pStyle w:val="BodyText"/>
      </w:pPr>
    </w:p>
    <w:p>
      <w:pPr>
        <w:pStyle w:val="BodyText"/>
        <w:spacing w:before="1"/>
        <w:ind w:left="1701" w:right="1728"/>
      </w:pPr>
      <w:r>
        <w:rPr/>
        <w:t>As a result of an internal review of the classification of the above steel wire, Customs now considers that these goods should be classified under heading 7215 of the Tariff. This heading provides a free rate of duty for goods imported under TAFTA, including the steel wire in question. Accordingly, Customs will formally revoke Customs Tariff Notice No. 1 (2007) by publication of a notice of revocation in the Commonwealth Gazette, of 6 February 2008. The notice of revocation will take effect on and from gazettal.</w:t>
      </w:r>
    </w:p>
    <w:p>
      <w:pPr>
        <w:pStyle w:val="BodyText"/>
        <w:spacing w:before="10"/>
        <w:rPr>
          <w:sz w:val="19"/>
        </w:rPr>
      </w:pPr>
    </w:p>
    <w:p>
      <w:pPr>
        <w:pStyle w:val="BodyText"/>
        <w:ind w:left="1701" w:right="1728"/>
      </w:pPr>
      <w:r>
        <w:rPr/>
        <w:t>The revocation of Notice No. 1 (2007) will remove the Free rate of duty provided under subheading 7217.10.00 in Schedule 6 of the Tariff for “low relaxation prestressed concrete steel wire, ribbed or indented”. This change will not affect rates of Customs duty applicable to other steel wire products also classified to subheading 7217.10.00.</w:t>
      </w:r>
    </w:p>
    <w:p>
      <w:pPr>
        <w:pStyle w:val="BodyText"/>
        <w:spacing w:before="1"/>
      </w:pPr>
    </w:p>
    <w:p>
      <w:pPr>
        <w:pStyle w:val="BodyText"/>
        <w:ind w:left="1701" w:right="1885"/>
      </w:pPr>
      <w:r>
        <w:rPr/>
        <w:t>Customs Tariff pages will be issued in connection with the revocation of Customs Tariff Notice No. 1 (2007), as follows: Customs Tariff Act page 15 (R.18) and Schedule 6 page 6/73 (R.3).</w:t>
      </w:r>
    </w:p>
    <w:p>
      <w:pPr>
        <w:pStyle w:val="BodyText"/>
        <w:spacing w:line="460" w:lineRule="atLeast"/>
        <w:ind w:left="1701" w:right="5720"/>
      </w:pPr>
      <w:r>
        <w:rPr/>
        <w:t>Enquiries concerning this ACN may be directed to: The Manager</w:t>
      </w:r>
    </w:p>
    <w:p>
      <w:pPr>
        <w:pStyle w:val="BodyText"/>
        <w:spacing w:line="230" w:lineRule="exact"/>
        <w:ind w:left="1701"/>
        <w:jc w:val="both"/>
      </w:pPr>
      <w:r>
        <w:rPr/>
        <w:t>Tariff Legislation</w:t>
      </w:r>
    </w:p>
    <w:p>
      <w:pPr>
        <w:pStyle w:val="BodyText"/>
        <w:ind w:left="1701" w:right="7732"/>
      </w:pPr>
      <w:r>
        <w:rPr/>
        <w:t>Australian Customs Service 5 Constitution Avenue</w:t>
      </w:r>
    </w:p>
    <w:p>
      <w:pPr>
        <w:pStyle w:val="BodyText"/>
        <w:spacing w:line="230" w:lineRule="exact"/>
        <w:ind w:left="1701"/>
        <w:jc w:val="both"/>
      </w:pPr>
      <w:r>
        <w:rPr/>
        <w:t>CANBERRA ACT 2601</w:t>
      </w:r>
    </w:p>
    <w:p>
      <w:pPr>
        <w:pStyle w:val="BodyText"/>
        <w:spacing w:before="1"/>
      </w:pPr>
    </w:p>
    <w:p>
      <w:pPr>
        <w:pStyle w:val="BodyText"/>
        <w:ind w:left="1701"/>
        <w:jc w:val="both"/>
      </w:pPr>
      <w:r>
        <w:rPr/>
        <w:t>Ph: 02 6275</w:t>
      </w:r>
      <w:r>
        <w:rPr>
          <w:spacing w:val="-2"/>
        </w:rPr>
        <w:t> </w:t>
      </w:r>
      <w:r>
        <w:rPr/>
        <w:t>6385</w:t>
      </w:r>
    </w:p>
    <w:p>
      <w:pPr>
        <w:pStyle w:val="BodyText"/>
        <w:rPr>
          <w:sz w:val="22"/>
        </w:rPr>
      </w:pPr>
    </w:p>
    <w:p>
      <w:pPr>
        <w:pStyle w:val="BodyText"/>
        <w:rPr>
          <w:sz w:val="22"/>
        </w:rPr>
      </w:pPr>
    </w:p>
    <w:p>
      <w:pPr>
        <w:pStyle w:val="BodyText"/>
        <w:spacing w:before="183"/>
        <w:ind w:left="1701" w:right="8154"/>
      </w:pPr>
      <w:r>
        <w:rPr/>
        <w:t>Philomena Carnell National Manager Trade Services Branch CANBERRA</w:t>
      </w:r>
      <w:r>
        <w:rPr>
          <w:spacing w:val="-3"/>
        </w:rPr>
        <w:t> </w:t>
      </w:r>
      <w:r>
        <w:rPr/>
        <w:t>ACT</w:t>
      </w:r>
    </w:p>
    <w:p>
      <w:pPr>
        <w:pStyle w:val="BodyText"/>
        <w:spacing w:before="1"/>
        <w:ind w:left="1701"/>
        <w:jc w:val="both"/>
      </w:pPr>
      <w:r>
        <w:rPr/>
        <w:t>31 January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5"/>
        </w:rPr>
      </w:pPr>
      <w:r>
        <w:rPr/>
        <w:drawing>
          <wp:anchor distT="0" distB="0" distL="0" distR="0" allowOverlap="1" layoutInCell="1" locked="0" behindDoc="0" simplePos="0" relativeHeight="1">
            <wp:simplePos x="0" y="0"/>
            <wp:positionH relativeFrom="page">
              <wp:posOffset>5556503</wp:posOffset>
            </wp:positionH>
            <wp:positionV relativeFrom="paragraph">
              <wp:posOffset>208843</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893" w:right="1822" w:hanging="57"/>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Revocation of Customs Notice No. 1 (2007) - certain steel wire imported under the Thailand-Australia Free Trade Agreement</dc:subject>
  <dc:title>AUSTRALIAN CUSTOMS NOTICE NO. 2008/04</dc:title>
  <dcterms:created xsi:type="dcterms:W3CDTF">2020-12-09T23:18:31Z</dcterms:created>
  <dcterms:modified xsi:type="dcterms:W3CDTF">2020-12-09T23:18:31Z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2008-02-06T00:00:00Z</vt:filetime>
  </property>
  <property fmtid="{D5CDD505-2E9C-101B-9397-08002B2CF9AE}" pid="3" name="Creator">
    <vt:lpwstr>Acrobat PDFMaker 7.0.7 for Word</vt:lpwstr>
  </property>
  <property fmtid="{D5CDD505-2E9C-101B-9397-08002B2CF9AE}" pid="4" name="LastSaved">
    <vt:filetime>2020-12-09T00:00:00Z</vt:filetime>
  </property>
</Properties>
</file>