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spacing w:before="90" w:after="19"/>
      </w:pPr>
      <w:r>
        <w:rPr/>
        <w:drawing>
          <wp:anchor distT="0" distB="0" distL="0" distR="0" allowOverlap="1" layoutInCell="1" locked="0" behindDoc="0" simplePos="0" relativeHeight="15729664">
            <wp:simplePos x="0" y="0"/>
            <wp:positionH relativeFrom="page">
              <wp:posOffset>0</wp:posOffset>
            </wp:positionH>
            <wp:positionV relativeFrom="paragraph">
              <wp:posOffset>-895449</wp:posOffset>
            </wp:positionV>
            <wp:extent cx="7556754"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5"/>
                    </a:xfrm>
                    <a:prstGeom prst="rect">
                      <a:avLst/>
                    </a:prstGeom>
                  </pic:spPr>
                </pic:pic>
              </a:graphicData>
            </a:graphic>
          </wp:anchor>
        </w:drawing>
      </w:r>
      <w:bookmarkStart w:name="AUSTRALIAN CUSTOMS NOTICE NO. 2008/19" w:id="1"/>
      <w:bookmarkEnd w:id="1"/>
      <w:r>
        <w:rPr>
          <w:b w:val="0"/>
        </w:rPr>
      </w:r>
      <w:r>
        <w:rPr/>
        <w:t>AUSTRALIAN CUSTOMS NOTICE NO. 2008/19</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pPr>
      <w:r>
        <w:rPr/>
        <w:t>Increase in customs and excise duty applicable to certain spirit based pre-mixed drinks</w:t>
      </w:r>
    </w:p>
    <w:p>
      <w:pPr>
        <w:pStyle w:val="BodyText"/>
        <w:spacing w:before="229"/>
        <w:ind w:left="1701" w:right="1895"/>
      </w:pPr>
      <w:r>
        <w:rPr/>
        <w:t>The Government advised on 26 April 2008 that the excise equivalent component of the Customs duty applying to certain imported spirit based pre-mixed drinks (having an alcoholic strength by volume exceeding 1.15% but not exceeding 10%) would increase from $39.36 per litre of alcohol to $66.67 per litre of alcohol. These drinks are commonly known as “alcopops” or “RTDs” (“ready to drink”).</w:t>
      </w:r>
    </w:p>
    <w:p>
      <w:pPr>
        <w:pStyle w:val="BodyText"/>
      </w:pPr>
    </w:p>
    <w:p>
      <w:pPr>
        <w:pStyle w:val="BodyText"/>
        <w:spacing w:line="230" w:lineRule="exact"/>
        <w:ind w:left="1701"/>
      </w:pPr>
      <w:r>
        <w:rPr/>
        <w:t>The increased duty rates were given effect through the publication of Customs Notice</w:t>
      </w:r>
    </w:p>
    <w:p>
      <w:pPr>
        <w:pStyle w:val="BodyText"/>
        <w:ind w:left="1701" w:right="1740"/>
      </w:pPr>
      <w:r>
        <w:rPr/>
        <w:t>(No. 1) 2008 in Special Commonwealth Gazette S 88 of 26 April 2008. The increased rates of duty took effect on and from 27 April 2008. Equivalent changes were also made to the rate of excise payable on similar locally manufactured goods. Excise Notice No. 1 (2008) published in Special Commonwealth Gazette S 87 refers.</w:t>
      </w:r>
    </w:p>
    <w:p>
      <w:pPr>
        <w:pStyle w:val="BodyText"/>
        <w:spacing w:before="1"/>
      </w:pPr>
    </w:p>
    <w:p>
      <w:pPr>
        <w:pStyle w:val="BodyText"/>
        <w:ind w:left="1701" w:right="1740"/>
      </w:pPr>
      <w:r>
        <w:rPr/>
        <w:t>Below is a list of the tariff classifications in Schedule 3 of the Customs Tariff that are affected by this increase. These rate increases also apply to the same goods listed in Schedule 5 (US originating goods) and Schedule 6 (Thai originating goods) of the Customs Tariff.</w:t>
      </w:r>
    </w:p>
    <w:p>
      <w:pPr>
        <w:pStyle w:val="BodyText"/>
        <w:spacing w:before="1"/>
        <w:rPr>
          <w:sz w:val="23"/>
        </w:rPr>
      </w:pPr>
    </w:p>
    <w:tbl>
      <w:tblPr>
        <w:tblW w:w="0" w:type="auto"/>
        <w:jc w:val="left"/>
        <w:tblInd w:w="27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4"/>
        <w:gridCol w:w="4225"/>
      </w:tblGrid>
      <w:tr>
        <w:trPr>
          <w:trHeight w:val="442" w:hRule="atLeast"/>
        </w:trPr>
        <w:tc>
          <w:tcPr>
            <w:tcW w:w="1914" w:type="dxa"/>
          </w:tcPr>
          <w:p>
            <w:pPr>
              <w:pStyle w:val="TableParagraph"/>
              <w:spacing w:line="201" w:lineRule="exact"/>
              <w:ind w:left="200"/>
              <w:rPr>
                <w:sz w:val="18"/>
              </w:rPr>
            </w:pPr>
            <w:r>
              <w:rPr>
                <w:sz w:val="18"/>
                <w:u w:val="single"/>
              </w:rPr>
              <w:t>Tariff Classification</w:t>
            </w:r>
          </w:p>
        </w:tc>
        <w:tc>
          <w:tcPr>
            <w:tcW w:w="4225" w:type="dxa"/>
          </w:tcPr>
          <w:p>
            <w:pPr>
              <w:pStyle w:val="TableParagraph"/>
              <w:spacing w:line="201" w:lineRule="exact"/>
              <w:ind w:left="193"/>
              <w:rPr>
                <w:sz w:val="18"/>
              </w:rPr>
            </w:pPr>
            <w:r>
              <w:rPr>
                <w:sz w:val="18"/>
                <w:u w:val="single"/>
              </w:rPr>
              <w:t>New rate effective 27 April 2008</w:t>
            </w:r>
          </w:p>
        </w:tc>
      </w:tr>
      <w:tr>
        <w:trPr>
          <w:trHeight w:val="684" w:hRule="atLeast"/>
        </w:trPr>
        <w:tc>
          <w:tcPr>
            <w:tcW w:w="1914" w:type="dxa"/>
          </w:tcPr>
          <w:p>
            <w:pPr>
              <w:pStyle w:val="TableParagraph"/>
              <w:spacing w:before="5"/>
              <w:rPr>
                <w:sz w:val="20"/>
              </w:rPr>
            </w:pPr>
          </w:p>
          <w:p>
            <w:pPr>
              <w:pStyle w:val="TableParagraph"/>
              <w:ind w:left="200"/>
              <w:rPr>
                <w:sz w:val="18"/>
              </w:rPr>
            </w:pPr>
            <w:r>
              <w:rPr>
                <w:sz w:val="18"/>
              </w:rPr>
              <w:t>2203.00.31</w:t>
            </w:r>
          </w:p>
        </w:tc>
        <w:tc>
          <w:tcPr>
            <w:tcW w:w="4225" w:type="dxa"/>
          </w:tcPr>
          <w:p>
            <w:pPr>
              <w:pStyle w:val="TableParagraph"/>
              <w:spacing w:before="5"/>
              <w:rPr>
                <w:sz w:val="20"/>
              </w:rPr>
            </w:pPr>
          </w:p>
          <w:p>
            <w:pPr>
              <w:pStyle w:val="TableParagraph"/>
              <w:ind w:left="193"/>
              <w:rPr>
                <w:sz w:val="18"/>
              </w:rPr>
            </w:pPr>
            <w:r>
              <w:rPr>
                <w:sz w:val="18"/>
              </w:rPr>
              <w:t>$66.67/Lal</w:t>
            </w:r>
          </w:p>
        </w:tc>
      </w:tr>
      <w:tr>
        <w:trPr>
          <w:trHeight w:val="683" w:hRule="atLeast"/>
        </w:trPr>
        <w:tc>
          <w:tcPr>
            <w:tcW w:w="1914" w:type="dxa"/>
          </w:tcPr>
          <w:p>
            <w:pPr>
              <w:pStyle w:val="TableParagraph"/>
              <w:spacing w:before="5"/>
              <w:rPr>
                <w:sz w:val="20"/>
              </w:rPr>
            </w:pPr>
          </w:p>
          <w:p>
            <w:pPr>
              <w:pStyle w:val="TableParagraph"/>
              <w:ind w:left="200"/>
              <w:rPr>
                <w:sz w:val="18"/>
              </w:rPr>
            </w:pPr>
            <w:r>
              <w:rPr>
                <w:sz w:val="18"/>
              </w:rPr>
              <w:t>2204.10.23</w:t>
            </w:r>
          </w:p>
        </w:tc>
        <w:tc>
          <w:tcPr>
            <w:tcW w:w="4225" w:type="dxa"/>
          </w:tcPr>
          <w:p>
            <w:pPr>
              <w:pStyle w:val="TableParagraph"/>
              <w:spacing w:before="5"/>
              <w:rPr>
                <w:sz w:val="20"/>
              </w:rPr>
            </w:pPr>
          </w:p>
          <w:p>
            <w:pPr>
              <w:pStyle w:val="TableParagraph"/>
              <w:ind w:left="193"/>
              <w:rPr>
                <w:sz w:val="18"/>
              </w:rPr>
            </w:pPr>
            <w:r>
              <w:rPr>
                <w:sz w:val="18"/>
              </w:rPr>
              <w:t>$66.67/Lal, plus customs duty where applicable</w:t>
            </w:r>
          </w:p>
        </w:tc>
      </w:tr>
      <w:tr>
        <w:trPr>
          <w:trHeight w:val="684" w:hRule="atLeast"/>
        </w:trPr>
        <w:tc>
          <w:tcPr>
            <w:tcW w:w="1914" w:type="dxa"/>
          </w:tcPr>
          <w:p>
            <w:pPr>
              <w:pStyle w:val="TableParagraph"/>
              <w:spacing w:before="5"/>
              <w:rPr>
                <w:sz w:val="20"/>
              </w:rPr>
            </w:pPr>
          </w:p>
          <w:p>
            <w:pPr>
              <w:pStyle w:val="TableParagraph"/>
              <w:ind w:left="200"/>
              <w:rPr>
                <w:sz w:val="18"/>
              </w:rPr>
            </w:pPr>
            <w:r>
              <w:rPr>
                <w:sz w:val="18"/>
              </w:rPr>
              <w:t>2204.10.83</w:t>
            </w:r>
          </w:p>
        </w:tc>
        <w:tc>
          <w:tcPr>
            <w:tcW w:w="4225" w:type="dxa"/>
          </w:tcPr>
          <w:p>
            <w:pPr>
              <w:pStyle w:val="TableParagraph"/>
              <w:spacing w:before="5"/>
              <w:rPr>
                <w:sz w:val="20"/>
              </w:rPr>
            </w:pPr>
          </w:p>
          <w:p>
            <w:pPr>
              <w:pStyle w:val="TableParagraph"/>
              <w:ind w:left="193"/>
              <w:rPr>
                <w:sz w:val="18"/>
              </w:rPr>
            </w:pPr>
            <w:r>
              <w:rPr>
                <w:sz w:val="18"/>
              </w:rPr>
              <w:t>$66.67/Lal, plus customs duty where applicable</w:t>
            </w:r>
          </w:p>
        </w:tc>
      </w:tr>
      <w:tr>
        <w:trPr>
          <w:trHeight w:val="683" w:hRule="atLeast"/>
        </w:trPr>
        <w:tc>
          <w:tcPr>
            <w:tcW w:w="1914" w:type="dxa"/>
          </w:tcPr>
          <w:p>
            <w:pPr>
              <w:pStyle w:val="TableParagraph"/>
              <w:spacing w:before="5"/>
              <w:rPr>
                <w:sz w:val="20"/>
              </w:rPr>
            </w:pPr>
          </w:p>
          <w:p>
            <w:pPr>
              <w:pStyle w:val="TableParagraph"/>
              <w:ind w:left="200"/>
              <w:rPr>
                <w:sz w:val="18"/>
              </w:rPr>
            </w:pPr>
            <w:r>
              <w:rPr>
                <w:sz w:val="18"/>
              </w:rPr>
              <w:t>2204.21.30</w:t>
            </w:r>
          </w:p>
        </w:tc>
        <w:tc>
          <w:tcPr>
            <w:tcW w:w="4225" w:type="dxa"/>
          </w:tcPr>
          <w:p>
            <w:pPr>
              <w:pStyle w:val="TableParagraph"/>
              <w:spacing w:before="5"/>
              <w:rPr>
                <w:sz w:val="20"/>
              </w:rPr>
            </w:pPr>
          </w:p>
          <w:p>
            <w:pPr>
              <w:pStyle w:val="TableParagraph"/>
              <w:ind w:left="193"/>
              <w:rPr>
                <w:sz w:val="18"/>
              </w:rPr>
            </w:pPr>
            <w:r>
              <w:rPr>
                <w:sz w:val="18"/>
              </w:rPr>
              <w:t>$66.67/Lal, plus customs duty where applicable</w:t>
            </w:r>
          </w:p>
        </w:tc>
      </w:tr>
      <w:tr>
        <w:trPr>
          <w:trHeight w:val="684" w:hRule="atLeast"/>
        </w:trPr>
        <w:tc>
          <w:tcPr>
            <w:tcW w:w="1914" w:type="dxa"/>
          </w:tcPr>
          <w:p>
            <w:pPr>
              <w:pStyle w:val="TableParagraph"/>
              <w:spacing w:before="5"/>
              <w:rPr>
                <w:sz w:val="20"/>
              </w:rPr>
            </w:pPr>
          </w:p>
          <w:p>
            <w:pPr>
              <w:pStyle w:val="TableParagraph"/>
              <w:ind w:left="200"/>
              <w:rPr>
                <w:sz w:val="18"/>
              </w:rPr>
            </w:pPr>
            <w:r>
              <w:rPr>
                <w:sz w:val="18"/>
              </w:rPr>
              <w:t>2204.29.30</w:t>
            </w:r>
          </w:p>
        </w:tc>
        <w:tc>
          <w:tcPr>
            <w:tcW w:w="4225" w:type="dxa"/>
          </w:tcPr>
          <w:p>
            <w:pPr>
              <w:pStyle w:val="TableParagraph"/>
              <w:spacing w:before="5"/>
              <w:rPr>
                <w:sz w:val="20"/>
              </w:rPr>
            </w:pPr>
          </w:p>
          <w:p>
            <w:pPr>
              <w:pStyle w:val="TableParagraph"/>
              <w:ind w:left="193"/>
              <w:rPr>
                <w:sz w:val="18"/>
              </w:rPr>
            </w:pPr>
            <w:r>
              <w:rPr>
                <w:sz w:val="18"/>
              </w:rPr>
              <w:t>$66.67/Lal, plus customs duty where applicable</w:t>
            </w:r>
          </w:p>
        </w:tc>
      </w:tr>
      <w:tr>
        <w:trPr>
          <w:trHeight w:val="684" w:hRule="atLeast"/>
        </w:trPr>
        <w:tc>
          <w:tcPr>
            <w:tcW w:w="1914" w:type="dxa"/>
          </w:tcPr>
          <w:p>
            <w:pPr>
              <w:pStyle w:val="TableParagraph"/>
              <w:spacing w:before="5"/>
              <w:rPr>
                <w:sz w:val="20"/>
              </w:rPr>
            </w:pPr>
          </w:p>
          <w:p>
            <w:pPr>
              <w:pStyle w:val="TableParagraph"/>
              <w:ind w:left="200"/>
              <w:rPr>
                <w:sz w:val="18"/>
              </w:rPr>
            </w:pPr>
            <w:r>
              <w:rPr>
                <w:sz w:val="18"/>
              </w:rPr>
              <w:t>2205.10.30</w:t>
            </w:r>
          </w:p>
        </w:tc>
        <w:tc>
          <w:tcPr>
            <w:tcW w:w="4225" w:type="dxa"/>
          </w:tcPr>
          <w:p>
            <w:pPr>
              <w:pStyle w:val="TableParagraph"/>
              <w:spacing w:before="5"/>
              <w:rPr>
                <w:sz w:val="20"/>
              </w:rPr>
            </w:pPr>
          </w:p>
          <w:p>
            <w:pPr>
              <w:pStyle w:val="TableParagraph"/>
              <w:ind w:left="193"/>
              <w:rPr>
                <w:sz w:val="18"/>
              </w:rPr>
            </w:pPr>
            <w:r>
              <w:rPr>
                <w:sz w:val="18"/>
              </w:rPr>
              <w:t>$66.67/Lal, plus customs duty where applicable</w:t>
            </w:r>
          </w:p>
        </w:tc>
      </w:tr>
      <w:tr>
        <w:trPr>
          <w:trHeight w:val="683" w:hRule="atLeast"/>
        </w:trPr>
        <w:tc>
          <w:tcPr>
            <w:tcW w:w="1914" w:type="dxa"/>
          </w:tcPr>
          <w:p>
            <w:pPr>
              <w:pStyle w:val="TableParagraph"/>
              <w:spacing w:before="5"/>
              <w:rPr>
                <w:sz w:val="20"/>
              </w:rPr>
            </w:pPr>
          </w:p>
          <w:p>
            <w:pPr>
              <w:pStyle w:val="TableParagraph"/>
              <w:ind w:left="200"/>
              <w:rPr>
                <w:sz w:val="18"/>
              </w:rPr>
            </w:pPr>
            <w:r>
              <w:rPr>
                <w:sz w:val="18"/>
              </w:rPr>
              <w:t>2205.90.30</w:t>
            </w:r>
          </w:p>
        </w:tc>
        <w:tc>
          <w:tcPr>
            <w:tcW w:w="4225" w:type="dxa"/>
          </w:tcPr>
          <w:p>
            <w:pPr>
              <w:pStyle w:val="TableParagraph"/>
              <w:spacing w:before="5"/>
              <w:rPr>
                <w:sz w:val="20"/>
              </w:rPr>
            </w:pPr>
          </w:p>
          <w:p>
            <w:pPr>
              <w:pStyle w:val="TableParagraph"/>
              <w:ind w:left="193"/>
              <w:rPr>
                <w:sz w:val="18"/>
              </w:rPr>
            </w:pPr>
            <w:r>
              <w:rPr>
                <w:sz w:val="18"/>
              </w:rPr>
              <w:t>$66.67/Lal, plus customs duty where applicable</w:t>
            </w:r>
          </w:p>
        </w:tc>
      </w:tr>
      <w:tr>
        <w:trPr>
          <w:trHeight w:val="683" w:hRule="atLeast"/>
        </w:trPr>
        <w:tc>
          <w:tcPr>
            <w:tcW w:w="1914" w:type="dxa"/>
          </w:tcPr>
          <w:p>
            <w:pPr>
              <w:pStyle w:val="TableParagraph"/>
              <w:spacing w:before="5"/>
              <w:rPr>
                <w:sz w:val="20"/>
              </w:rPr>
            </w:pPr>
          </w:p>
          <w:p>
            <w:pPr>
              <w:pStyle w:val="TableParagraph"/>
              <w:ind w:left="200"/>
              <w:rPr>
                <w:sz w:val="18"/>
              </w:rPr>
            </w:pPr>
            <w:r>
              <w:rPr>
                <w:sz w:val="18"/>
              </w:rPr>
              <w:t>2206.00.52</w:t>
            </w:r>
          </w:p>
        </w:tc>
        <w:tc>
          <w:tcPr>
            <w:tcW w:w="4225" w:type="dxa"/>
          </w:tcPr>
          <w:p>
            <w:pPr>
              <w:pStyle w:val="TableParagraph"/>
              <w:spacing w:before="5"/>
              <w:rPr>
                <w:sz w:val="20"/>
              </w:rPr>
            </w:pPr>
          </w:p>
          <w:p>
            <w:pPr>
              <w:pStyle w:val="TableParagraph"/>
              <w:ind w:left="193"/>
              <w:rPr>
                <w:sz w:val="18"/>
              </w:rPr>
            </w:pPr>
            <w:r>
              <w:rPr>
                <w:sz w:val="18"/>
              </w:rPr>
              <w:t>$66.67/Lal, plus customs duty where applicable</w:t>
            </w:r>
          </w:p>
        </w:tc>
      </w:tr>
      <w:tr>
        <w:trPr>
          <w:trHeight w:val="684" w:hRule="atLeast"/>
        </w:trPr>
        <w:tc>
          <w:tcPr>
            <w:tcW w:w="1914" w:type="dxa"/>
          </w:tcPr>
          <w:p>
            <w:pPr>
              <w:pStyle w:val="TableParagraph"/>
              <w:spacing w:before="5"/>
              <w:rPr>
                <w:sz w:val="20"/>
              </w:rPr>
            </w:pPr>
          </w:p>
          <w:p>
            <w:pPr>
              <w:pStyle w:val="TableParagraph"/>
              <w:ind w:left="200"/>
              <w:rPr>
                <w:sz w:val="18"/>
              </w:rPr>
            </w:pPr>
            <w:r>
              <w:rPr>
                <w:sz w:val="18"/>
              </w:rPr>
              <w:t>2206.00.62</w:t>
            </w:r>
          </w:p>
        </w:tc>
        <w:tc>
          <w:tcPr>
            <w:tcW w:w="4225" w:type="dxa"/>
          </w:tcPr>
          <w:p>
            <w:pPr>
              <w:pStyle w:val="TableParagraph"/>
              <w:spacing w:before="5"/>
              <w:rPr>
                <w:sz w:val="20"/>
              </w:rPr>
            </w:pPr>
          </w:p>
          <w:p>
            <w:pPr>
              <w:pStyle w:val="TableParagraph"/>
              <w:ind w:left="193"/>
              <w:rPr>
                <w:sz w:val="18"/>
              </w:rPr>
            </w:pPr>
            <w:r>
              <w:rPr>
                <w:sz w:val="18"/>
              </w:rPr>
              <w:t>$66.67/Lal, plus customs duty where applicable</w:t>
            </w:r>
          </w:p>
        </w:tc>
      </w:tr>
      <w:tr>
        <w:trPr>
          <w:trHeight w:val="683" w:hRule="atLeast"/>
        </w:trPr>
        <w:tc>
          <w:tcPr>
            <w:tcW w:w="1914" w:type="dxa"/>
          </w:tcPr>
          <w:p>
            <w:pPr>
              <w:pStyle w:val="TableParagraph"/>
              <w:spacing w:before="5"/>
              <w:rPr>
                <w:sz w:val="20"/>
              </w:rPr>
            </w:pPr>
          </w:p>
          <w:p>
            <w:pPr>
              <w:pStyle w:val="TableParagraph"/>
              <w:ind w:left="200"/>
              <w:rPr>
                <w:sz w:val="18"/>
              </w:rPr>
            </w:pPr>
            <w:r>
              <w:rPr>
                <w:sz w:val="18"/>
              </w:rPr>
              <w:t>2206.00.92</w:t>
            </w:r>
          </w:p>
        </w:tc>
        <w:tc>
          <w:tcPr>
            <w:tcW w:w="4225" w:type="dxa"/>
          </w:tcPr>
          <w:p>
            <w:pPr>
              <w:pStyle w:val="TableParagraph"/>
              <w:spacing w:before="5"/>
              <w:rPr>
                <w:sz w:val="20"/>
              </w:rPr>
            </w:pPr>
          </w:p>
          <w:p>
            <w:pPr>
              <w:pStyle w:val="TableParagraph"/>
              <w:ind w:left="193"/>
              <w:rPr>
                <w:sz w:val="18"/>
              </w:rPr>
            </w:pPr>
            <w:r>
              <w:rPr>
                <w:sz w:val="18"/>
              </w:rPr>
              <w:t>$66.67/Lal</w:t>
            </w:r>
          </w:p>
        </w:tc>
      </w:tr>
      <w:tr>
        <w:trPr>
          <w:trHeight w:val="442" w:hRule="atLeast"/>
        </w:trPr>
        <w:tc>
          <w:tcPr>
            <w:tcW w:w="1914" w:type="dxa"/>
          </w:tcPr>
          <w:p>
            <w:pPr>
              <w:pStyle w:val="TableParagraph"/>
              <w:spacing w:before="5"/>
              <w:rPr>
                <w:sz w:val="20"/>
              </w:rPr>
            </w:pPr>
          </w:p>
          <w:p>
            <w:pPr>
              <w:pStyle w:val="TableParagraph"/>
              <w:spacing w:line="187" w:lineRule="exact"/>
              <w:ind w:left="200"/>
              <w:rPr>
                <w:sz w:val="18"/>
              </w:rPr>
            </w:pPr>
            <w:r>
              <w:rPr>
                <w:sz w:val="18"/>
              </w:rPr>
              <w:t>2208.90.20</w:t>
            </w:r>
          </w:p>
        </w:tc>
        <w:tc>
          <w:tcPr>
            <w:tcW w:w="4225" w:type="dxa"/>
          </w:tcPr>
          <w:p>
            <w:pPr>
              <w:pStyle w:val="TableParagraph"/>
              <w:spacing w:before="5"/>
              <w:rPr>
                <w:sz w:val="20"/>
              </w:rPr>
            </w:pPr>
          </w:p>
          <w:p>
            <w:pPr>
              <w:pStyle w:val="TableParagraph"/>
              <w:spacing w:line="187" w:lineRule="exact"/>
              <w:ind w:left="193"/>
              <w:rPr>
                <w:sz w:val="18"/>
              </w:rPr>
            </w:pPr>
            <w:r>
              <w:rPr>
                <w:sz w:val="18"/>
              </w:rPr>
              <w:t>$66.67/Lal, plus customs duty where applicable</w:t>
            </w:r>
          </w:p>
        </w:tc>
      </w:tr>
    </w:tbl>
    <w:p>
      <w:pPr>
        <w:pStyle w:val="BodyText"/>
      </w:pPr>
    </w:p>
    <w:p>
      <w:pPr>
        <w:pStyle w:val="BodyText"/>
      </w:pPr>
    </w:p>
    <w:p>
      <w:pPr>
        <w:pStyle w:val="BodyText"/>
      </w:pPr>
    </w:p>
    <w:p>
      <w:pPr>
        <w:pStyle w:val="BodyText"/>
        <w:spacing w:before="1"/>
        <w:rPr>
          <w:sz w:val="27"/>
        </w:rPr>
      </w:pPr>
      <w:r>
        <w:rPr/>
        <w:drawing>
          <wp:anchor distT="0" distB="0" distL="0" distR="0" allowOverlap="1" layoutInCell="1" locked="0" behindDoc="0" simplePos="0" relativeHeight="1">
            <wp:simplePos x="0" y="0"/>
            <wp:positionH relativeFrom="page">
              <wp:posOffset>5556503</wp:posOffset>
            </wp:positionH>
            <wp:positionV relativeFrom="paragraph">
              <wp:posOffset>222702</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4" cy="116204"/>
                    </a:xfrm>
                    <a:prstGeom prst="rect">
                      <a:avLst/>
                    </a:prstGeom>
                  </pic:spPr>
                </pic:pic>
              </a:graphicData>
            </a:graphic>
          </wp:anchor>
        </w:drawing>
      </w:r>
    </w:p>
    <w:p>
      <w:pPr>
        <w:spacing w:after="0"/>
        <w:rPr>
          <w:sz w:val="27"/>
        </w:rPr>
        <w:sectPr>
          <w:type w:val="continuous"/>
          <w:pgSz w:w="11910" w:h="16840"/>
          <w:pgMar w:top="860" w:bottom="280" w:left="0" w:right="0"/>
        </w:sectPr>
      </w:pPr>
    </w:p>
    <w:p>
      <w:pPr>
        <w:pStyle w:val="BodyText"/>
        <w:spacing w:before="77"/>
        <w:ind w:left="1743" w:right="1740"/>
        <w:jc w:val="center"/>
      </w:pPr>
      <w:r>
        <w:rPr/>
        <w:t>-2-</w:t>
      </w:r>
    </w:p>
    <w:p>
      <w:pPr>
        <w:pStyle w:val="BodyText"/>
        <w:spacing w:line="460" w:lineRule="exact" w:before="49"/>
        <w:ind w:left="2421" w:right="4774" w:hanging="720"/>
      </w:pPr>
      <w:r>
        <w:rPr/>
        <w:t>Any inquiries concerning these matters should be directed to: The Manager</w:t>
      </w:r>
    </w:p>
    <w:p>
      <w:pPr>
        <w:pStyle w:val="BodyText"/>
        <w:spacing w:line="180" w:lineRule="exact"/>
        <w:ind w:left="2421"/>
      </w:pPr>
      <w:r>
        <w:rPr/>
        <w:t>Tariff Legislation</w:t>
      </w:r>
    </w:p>
    <w:p>
      <w:pPr>
        <w:pStyle w:val="BodyText"/>
        <w:spacing w:before="1"/>
        <w:ind w:left="2421" w:right="7012"/>
      </w:pPr>
      <w:r>
        <w:rPr/>
        <w:t>Australian Customs Service 5 Constitution Avenue</w:t>
      </w:r>
    </w:p>
    <w:p>
      <w:pPr>
        <w:pStyle w:val="BodyText"/>
        <w:spacing w:line="230" w:lineRule="exact"/>
        <w:ind w:left="2421"/>
      </w:pPr>
      <w:r>
        <w:rPr/>
        <w:t>CANBERRA ACT</w:t>
      </w:r>
      <w:r>
        <w:rPr>
          <w:spacing w:val="53"/>
        </w:rPr>
        <w:t> </w:t>
      </w:r>
      <w:r>
        <w:rPr/>
        <w:t>2601</w:t>
      </w:r>
    </w:p>
    <w:p>
      <w:pPr>
        <w:pStyle w:val="BodyText"/>
        <w:ind w:left="2421"/>
      </w:pPr>
      <w:r>
        <w:rPr/>
        <w:t>Ph: (02) 6275 6486</w:t>
      </w:r>
    </w:p>
    <w:p>
      <w:pPr>
        <w:pStyle w:val="BodyText"/>
        <w:spacing w:before="1"/>
        <w:rPr>
          <w:sz w:val="24"/>
        </w:rPr>
      </w:pPr>
    </w:p>
    <w:p>
      <w:pPr>
        <w:pStyle w:val="BodyText"/>
        <w:spacing w:before="1"/>
        <w:ind w:left="1701"/>
      </w:pPr>
      <w:r>
        <w:rPr/>
        <w:t>Customs Tariff pages to be issued in connection with these changes are:</w:t>
      </w:r>
    </w:p>
    <w:p>
      <w:pPr>
        <w:pStyle w:val="BodyText"/>
      </w:pPr>
    </w:p>
    <w:p>
      <w:pPr>
        <w:pStyle w:val="Heading1"/>
        <w:rPr>
          <w:u w:val="none"/>
        </w:rPr>
      </w:pPr>
      <w:bookmarkStart w:name="Schedule 3" w:id="2"/>
      <w:bookmarkEnd w:id="2"/>
      <w:r>
        <w:rPr>
          <w:u w:val="none"/>
        </w:rPr>
      </w:r>
      <w:r>
        <w:rPr>
          <w:u w:val="single"/>
        </w:rPr>
        <w:t>Schedule</w:t>
      </w:r>
      <w:r>
        <w:rPr>
          <w:spacing w:val="-1"/>
          <w:u w:val="single"/>
        </w:rPr>
        <w:t> </w:t>
      </w:r>
      <w:r>
        <w:rPr>
          <w:u w:val="single"/>
        </w:rPr>
        <w:t>3</w:t>
      </w:r>
    </w:p>
    <w:p>
      <w:pPr>
        <w:pStyle w:val="BodyText"/>
        <w:spacing w:before="6"/>
        <w:rPr>
          <w:rFonts w:ascii="Times New Roman"/>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5"/>
        <w:gridCol w:w="2182"/>
        <w:gridCol w:w="2293"/>
        <w:gridCol w:w="1875"/>
      </w:tblGrid>
      <w:tr>
        <w:trPr>
          <w:trHeight w:val="230" w:hRule="atLeast"/>
        </w:trPr>
        <w:tc>
          <w:tcPr>
            <w:tcW w:w="1875" w:type="dxa"/>
          </w:tcPr>
          <w:p>
            <w:pPr>
              <w:pStyle w:val="TableParagraph"/>
              <w:spacing w:line="211" w:lineRule="exact"/>
              <w:ind w:left="200"/>
              <w:rPr>
                <w:sz w:val="20"/>
              </w:rPr>
            </w:pPr>
            <w:r>
              <w:rPr>
                <w:sz w:val="20"/>
              </w:rPr>
              <w:t>22/5 (R.28)</w:t>
            </w:r>
          </w:p>
        </w:tc>
        <w:tc>
          <w:tcPr>
            <w:tcW w:w="2182" w:type="dxa"/>
          </w:tcPr>
          <w:p>
            <w:pPr>
              <w:pStyle w:val="TableParagraph"/>
              <w:spacing w:line="211" w:lineRule="exact"/>
              <w:ind w:left="563"/>
              <w:rPr>
                <w:sz w:val="20"/>
              </w:rPr>
            </w:pPr>
            <w:r>
              <w:rPr>
                <w:sz w:val="20"/>
              </w:rPr>
              <w:t>22/9 (R.29)</w:t>
            </w:r>
          </w:p>
        </w:tc>
        <w:tc>
          <w:tcPr>
            <w:tcW w:w="2293" w:type="dxa"/>
          </w:tcPr>
          <w:p>
            <w:pPr>
              <w:pStyle w:val="TableParagraph"/>
              <w:spacing w:line="211" w:lineRule="exact"/>
              <w:ind w:left="618"/>
              <w:rPr>
                <w:sz w:val="20"/>
              </w:rPr>
            </w:pPr>
            <w:r>
              <w:rPr>
                <w:sz w:val="20"/>
              </w:rPr>
              <w:t>22/11 (R.19)</w:t>
            </w:r>
          </w:p>
        </w:tc>
        <w:tc>
          <w:tcPr>
            <w:tcW w:w="1875" w:type="dxa"/>
          </w:tcPr>
          <w:p>
            <w:pPr>
              <w:pStyle w:val="TableParagraph"/>
              <w:spacing w:line="211" w:lineRule="exact"/>
              <w:ind w:left="563"/>
              <w:rPr>
                <w:sz w:val="20"/>
              </w:rPr>
            </w:pPr>
            <w:r>
              <w:rPr>
                <w:sz w:val="20"/>
              </w:rPr>
              <w:t>22/13 (R.20)</w:t>
            </w:r>
          </w:p>
        </w:tc>
      </w:tr>
      <w:tr>
        <w:trPr>
          <w:trHeight w:val="230" w:hRule="atLeast"/>
        </w:trPr>
        <w:tc>
          <w:tcPr>
            <w:tcW w:w="1875" w:type="dxa"/>
          </w:tcPr>
          <w:p>
            <w:pPr>
              <w:pStyle w:val="TableParagraph"/>
              <w:spacing w:line="210" w:lineRule="exact"/>
              <w:ind w:left="200"/>
              <w:rPr>
                <w:sz w:val="20"/>
              </w:rPr>
            </w:pPr>
            <w:r>
              <w:rPr>
                <w:sz w:val="20"/>
              </w:rPr>
              <w:t>22/17 (R.21)</w:t>
            </w:r>
          </w:p>
        </w:tc>
        <w:tc>
          <w:tcPr>
            <w:tcW w:w="2182" w:type="dxa"/>
          </w:tcPr>
          <w:p>
            <w:pPr>
              <w:pStyle w:val="TableParagraph"/>
              <w:spacing w:line="210" w:lineRule="exact"/>
              <w:ind w:left="564"/>
              <w:rPr>
                <w:sz w:val="20"/>
              </w:rPr>
            </w:pPr>
            <w:r>
              <w:rPr>
                <w:sz w:val="20"/>
              </w:rPr>
              <w:t>22/21 (R.18)</w:t>
            </w:r>
          </w:p>
        </w:tc>
        <w:tc>
          <w:tcPr>
            <w:tcW w:w="2293" w:type="dxa"/>
          </w:tcPr>
          <w:p>
            <w:pPr>
              <w:pStyle w:val="TableParagraph"/>
              <w:rPr>
                <w:rFonts w:ascii="Times New Roman"/>
                <w:sz w:val="16"/>
              </w:rPr>
            </w:pPr>
          </w:p>
        </w:tc>
        <w:tc>
          <w:tcPr>
            <w:tcW w:w="1875" w:type="dxa"/>
          </w:tcPr>
          <w:p>
            <w:pPr>
              <w:pStyle w:val="TableParagraph"/>
              <w:rPr>
                <w:rFonts w:ascii="Times New Roman"/>
                <w:sz w:val="16"/>
              </w:rPr>
            </w:pPr>
          </w:p>
        </w:tc>
      </w:tr>
    </w:tbl>
    <w:p>
      <w:pPr>
        <w:pStyle w:val="BodyText"/>
        <w:spacing w:before="10"/>
        <w:rPr>
          <w:rFonts w:ascii="Times New Roman"/>
          <w:sz w:val="23"/>
        </w:rPr>
      </w:pPr>
    </w:p>
    <w:p>
      <w:pPr>
        <w:spacing w:before="0"/>
        <w:ind w:left="1701" w:right="0" w:firstLine="0"/>
        <w:jc w:val="left"/>
        <w:rPr>
          <w:rFonts w:ascii="Times New Roman"/>
          <w:sz w:val="24"/>
        </w:rPr>
      </w:pPr>
      <w:bookmarkStart w:name="Schedule 5" w:id="3"/>
      <w:bookmarkEnd w:id="3"/>
      <w:r>
        <w:rPr/>
      </w:r>
      <w:r>
        <w:rPr>
          <w:rFonts w:ascii="Times New Roman"/>
          <w:sz w:val="24"/>
          <w:u w:val="single"/>
        </w:rPr>
        <w:t>Schedule</w:t>
      </w:r>
      <w:r>
        <w:rPr>
          <w:rFonts w:ascii="Times New Roman"/>
          <w:spacing w:val="-1"/>
          <w:sz w:val="24"/>
          <w:u w:val="single"/>
        </w:rPr>
        <w:t> </w:t>
      </w:r>
      <w:r>
        <w:rPr>
          <w:rFonts w:ascii="Times New Roman"/>
          <w:sz w:val="24"/>
          <w:u w:val="single"/>
        </w:rPr>
        <w:t>5</w:t>
      </w:r>
    </w:p>
    <w:p>
      <w:pPr>
        <w:pStyle w:val="BodyText"/>
        <w:spacing w:before="7"/>
        <w:rPr>
          <w:rFonts w:ascii="Times New Roman"/>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4"/>
        <w:gridCol w:w="1764"/>
      </w:tblGrid>
      <w:tr>
        <w:trPr>
          <w:trHeight w:val="223" w:hRule="atLeast"/>
        </w:trPr>
        <w:tc>
          <w:tcPr>
            <w:tcW w:w="1764" w:type="dxa"/>
          </w:tcPr>
          <w:p>
            <w:pPr>
              <w:pStyle w:val="TableParagraph"/>
              <w:spacing w:line="204" w:lineRule="exact"/>
              <w:ind w:left="200"/>
              <w:rPr>
                <w:sz w:val="20"/>
              </w:rPr>
            </w:pPr>
            <w:r>
              <w:rPr>
                <w:sz w:val="20"/>
              </w:rPr>
              <w:t>5/1 (R.10)</w:t>
            </w:r>
          </w:p>
        </w:tc>
        <w:tc>
          <w:tcPr>
            <w:tcW w:w="1764" w:type="dxa"/>
          </w:tcPr>
          <w:p>
            <w:pPr>
              <w:pStyle w:val="TableParagraph"/>
              <w:spacing w:line="204" w:lineRule="exact"/>
              <w:ind w:left="675"/>
              <w:rPr>
                <w:sz w:val="20"/>
              </w:rPr>
            </w:pPr>
            <w:r>
              <w:rPr>
                <w:sz w:val="20"/>
              </w:rPr>
              <w:t>5/3 (R.11)</w:t>
            </w:r>
          </w:p>
        </w:tc>
      </w:tr>
    </w:tbl>
    <w:p>
      <w:pPr>
        <w:pStyle w:val="Heading1"/>
        <w:spacing w:before="229"/>
        <w:rPr>
          <w:u w:val="none"/>
        </w:rPr>
      </w:pPr>
      <w:bookmarkStart w:name="Schedule 6" w:id="4"/>
      <w:bookmarkEnd w:id="4"/>
      <w:r>
        <w:rPr>
          <w:u w:val="none"/>
        </w:rPr>
      </w:r>
      <w:r>
        <w:rPr>
          <w:u w:val="single"/>
        </w:rPr>
        <w:t>Schedule</w:t>
      </w:r>
      <w:r>
        <w:rPr>
          <w:spacing w:val="-1"/>
          <w:u w:val="single"/>
        </w:rPr>
        <w:t> </w:t>
      </w:r>
      <w:r>
        <w:rPr>
          <w:u w:val="single"/>
        </w:rPr>
        <w:t>6</w:t>
      </w:r>
    </w:p>
    <w:p>
      <w:pPr>
        <w:pStyle w:val="BodyText"/>
        <w:spacing w:before="7"/>
        <w:rPr>
          <w:rFonts w:ascii="Times New Roman"/>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9"/>
        <w:gridCol w:w="1821"/>
      </w:tblGrid>
      <w:tr>
        <w:trPr>
          <w:trHeight w:val="223" w:hRule="atLeast"/>
        </w:trPr>
        <w:tc>
          <w:tcPr>
            <w:tcW w:w="1709" w:type="dxa"/>
          </w:tcPr>
          <w:p>
            <w:pPr>
              <w:pStyle w:val="TableParagraph"/>
              <w:spacing w:line="204" w:lineRule="exact"/>
              <w:ind w:left="200"/>
              <w:rPr>
                <w:sz w:val="20"/>
              </w:rPr>
            </w:pPr>
            <w:r>
              <w:rPr>
                <w:sz w:val="20"/>
              </w:rPr>
              <w:t>6/1 (R.9)</w:t>
            </w:r>
          </w:p>
        </w:tc>
        <w:tc>
          <w:tcPr>
            <w:tcW w:w="1821" w:type="dxa"/>
          </w:tcPr>
          <w:p>
            <w:pPr>
              <w:pStyle w:val="TableParagraph"/>
              <w:spacing w:line="204" w:lineRule="exact"/>
              <w:ind w:left="730"/>
              <w:rPr>
                <w:sz w:val="20"/>
              </w:rPr>
            </w:pPr>
            <w:r>
              <w:rPr>
                <w:sz w:val="20"/>
              </w:rPr>
              <w:t>6/3 (R.10)</w:t>
            </w:r>
          </w:p>
        </w:tc>
      </w:tr>
    </w:tbl>
    <w:p>
      <w:pPr>
        <w:pStyle w:val="BodyText"/>
        <w:spacing w:before="229"/>
        <w:ind w:left="1701" w:right="1828"/>
      </w:pPr>
      <w:r>
        <w:rPr/>
        <w:t>The above tariff reprint pages will be issued in hard copy in the week commencing 5 May 2008 but are available on the Customs website </w:t>
      </w:r>
      <w:hyperlink r:id="rId7">
        <w:r>
          <w:rPr>
            <w:color w:val="0000FF"/>
            <w:u w:val="single" w:color="0000FF"/>
          </w:rPr>
          <w:t>www.customs.gov.au</w:t>
        </w:r>
        <w:r>
          <w:rPr>
            <w:color w:val="0000FF"/>
          </w:rPr>
          <w:t> </w:t>
        </w:r>
      </w:hyperlink>
      <w:r>
        <w:rPr/>
        <w:t>under import/export, customs tariff.</w:t>
      </w:r>
    </w:p>
    <w:p>
      <w:pPr>
        <w:pStyle w:val="BodyText"/>
        <w:rPr>
          <w:sz w:val="22"/>
        </w:rPr>
      </w:pPr>
    </w:p>
    <w:p>
      <w:pPr>
        <w:pStyle w:val="BodyText"/>
        <w:rPr>
          <w:sz w:val="18"/>
        </w:rPr>
      </w:pPr>
    </w:p>
    <w:p>
      <w:pPr>
        <w:pStyle w:val="BodyText"/>
        <w:ind w:left="1701"/>
      </w:pPr>
      <w:r>
        <w:rPr/>
        <w:t>Jennifer Reimitz</w:t>
      </w:r>
    </w:p>
    <w:p>
      <w:pPr>
        <w:pStyle w:val="BodyText"/>
        <w:ind w:left="1701" w:right="7998"/>
      </w:pPr>
      <w:r>
        <w:rPr/>
        <w:t>Acting National Manager Trade Services</w:t>
      </w:r>
    </w:p>
    <w:p>
      <w:pPr>
        <w:pStyle w:val="BodyText"/>
        <w:ind w:left="1756" w:right="7866" w:hanging="56"/>
      </w:pPr>
      <w:r>
        <w:rPr/>
        <w:t>for Chief Executive Officer 29 April 2008</w:t>
      </w:r>
    </w:p>
    <w:sectPr>
      <w:pgSz w:w="11910" w:h="16840"/>
      <w:pgMar w:top="13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701"/>
      <w:outlineLvl w:val="1"/>
    </w:pPr>
    <w:rPr>
      <w:rFonts w:ascii="Times New Roman" w:hAnsi="Times New Roman" w:eastAsia="Times New Roman" w:cs="Times New Roman"/>
      <w:sz w:val="24"/>
      <w:szCs w:val="24"/>
      <w:u w:val="single" w:color="000000"/>
    </w:rPr>
  </w:style>
  <w:style w:styleId="Title" w:type="paragraph">
    <w:name w:val="Title"/>
    <w:basedOn w:val="Normal"/>
    <w:uiPriority w:val="1"/>
    <w:qFormat/>
    <w:pPr>
      <w:spacing w:before="53"/>
      <w:ind w:left="1744" w:right="1740"/>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title>AUSTRALIAN CUSTOMS NOTICE NO 2008/19</dc:title>
  <dcterms:created xsi:type="dcterms:W3CDTF">2020-12-09T22:32:19Z</dcterms:created>
  <dcterms:modified xsi:type="dcterms:W3CDTF">2020-12-09T22:32:19Z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2008-04-30T00:00:00Z</vt:filetime>
  </property>
  <property fmtid="{D5CDD505-2E9C-101B-9397-08002B2CF9AE}" pid="3" name="Creator">
    <vt:lpwstr>Acrobat PDFMaker 7.0.5 for Word</vt:lpwstr>
  </property>
  <property fmtid="{D5CDD505-2E9C-101B-9397-08002B2CF9AE}" pid="4" name="LastSaved">
    <vt:filetime>2020-12-09T00:00:00Z</vt:filetime>
  </property>
</Properties>
</file>