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Title"/>
      </w:pPr>
      <w:r>
        <w:rPr/>
        <w:t>AUSTRALIAN CUSTOMS NOTICE NO. 2009/04</w:t>
      </w:r>
    </w:p>
    <w:p>
      <w:pPr>
        <w:spacing w:line="230" w:lineRule="auto" w:before="282"/>
        <w:ind w:left="1919" w:right="1933" w:firstLine="0"/>
        <w:jc w:val="center"/>
        <w:rPr>
          <w:b/>
          <w:sz w:val="28"/>
        </w:rPr>
      </w:pPr>
      <w:r>
        <w:rPr>
          <w:b/>
          <w:sz w:val="28"/>
        </w:rPr>
        <w:t>Import controls of General Lighting Service (GLS) Electric Filament Lamps</w:t>
      </w:r>
    </w:p>
    <w:p>
      <w:pPr>
        <w:pStyle w:val="BodyText"/>
        <w:spacing w:before="2"/>
        <w:rPr>
          <w:b/>
          <w:sz w:val="23"/>
        </w:rPr>
      </w:pPr>
    </w:p>
    <w:p>
      <w:pPr>
        <w:spacing w:line="235" w:lineRule="auto" w:before="1"/>
        <w:ind w:left="1521" w:right="1705" w:firstLine="0"/>
        <w:jc w:val="left"/>
        <w:rPr>
          <w:sz w:val="20"/>
        </w:rPr>
      </w:pPr>
      <w:r>
        <w:rPr>
          <w:sz w:val="20"/>
        </w:rPr>
        <w:t>The </w:t>
      </w:r>
      <w:r>
        <w:rPr>
          <w:b/>
          <w:sz w:val="20"/>
        </w:rPr>
        <w:t>importation of </w:t>
      </w:r>
      <w:r>
        <w:rPr>
          <w:sz w:val="20"/>
        </w:rPr>
        <w:t>General Lighting Service (GLS) Electric Filament Lamps will be prohibited under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(the Regulations) from 1 February 2009, unless an import permission has been granted.</w: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spacing w:line="235" w:lineRule="auto" w:before="1"/>
        <w:ind w:left="1521" w:right="1615"/>
      </w:pPr>
      <w:r>
        <w:rPr/>
        <w:t>The Regulations require a person seeking to import GLS lamps to obtain permission from the Minister for Industry prior to the importation. Permissions will only be granted in a limited number of circumstances. For all import permission enquiries please contact the Department of Industry on Ph. 1800 770 161 or </w:t>
      </w:r>
      <w:hyperlink r:id="rId7">
        <w:r>
          <w:rPr>
            <w:color w:val="0000FF"/>
            <w:u w:val="single" w:color="0000FF"/>
          </w:rPr>
          <w:t>http://www.energyrating.gov.au/programs/e3-</w:t>
        </w:r>
      </w:hyperlink>
      <w:r>
        <w:rPr>
          <w:color w:val="0000FF"/>
        </w:rPr>
        <w:t> </w:t>
      </w:r>
      <w:r>
        <w:rPr>
          <w:color w:val="0000FF"/>
          <w:u w:val="single" w:color="0000FF"/>
        </w:rPr>
        <w:t>program/meps/about/</w:t>
      </w:r>
    </w:p>
    <w:p>
      <w:pPr>
        <w:pStyle w:val="BodyText"/>
        <w:spacing w:before="6"/>
        <w:rPr>
          <w:sz w:val="13"/>
        </w:rPr>
      </w:pPr>
    </w:p>
    <w:p>
      <w:pPr>
        <w:spacing w:line="235" w:lineRule="auto" w:before="69"/>
        <w:ind w:left="1521" w:right="1625" w:firstLine="0"/>
        <w:jc w:val="left"/>
        <w:rPr>
          <w:i/>
          <w:sz w:val="20"/>
        </w:rPr>
      </w:pPr>
      <w:r>
        <w:rPr>
          <w:sz w:val="20"/>
        </w:rPr>
        <w:t>The prohibition covers a range of inefficient GLS electric filament lamps as set out in Australian Standard 4934.2-2011 - </w:t>
      </w:r>
      <w:r>
        <w:rPr>
          <w:i/>
          <w:sz w:val="20"/>
        </w:rPr>
        <w:t>Incandescent Lamps for General Lighting Services, Part 2: Minimum Energy Performance Standards (MEPS)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Requirements.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BodyText"/>
        <w:ind w:left="1521"/>
      </w:pPr>
      <w:r>
        <w:rPr/>
        <w:t>The prohibited lamps have the following</w:t>
      </w:r>
      <w:r>
        <w:rPr>
          <w:spacing w:val="-24"/>
        </w:rPr>
        <w:t> </w:t>
      </w:r>
      <w:r>
        <w:rPr/>
        <w:t>characteristics:</w:t>
      </w:r>
    </w:p>
    <w:p>
      <w:pPr>
        <w:pStyle w:val="BodyText"/>
        <w:spacing w:before="7" w:after="1"/>
        <w:rPr>
          <w:sz w:val="19"/>
        </w:rPr>
      </w:pPr>
    </w:p>
    <w:tbl>
      <w:tblPr>
        <w:tblW w:w="0" w:type="auto"/>
        <w:jc w:val="left"/>
        <w:tblInd w:w="2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85"/>
        <w:gridCol w:w="1440"/>
        <w:gridCol w:w="698"/>
        <w:gridCol w:w="741"/>
        <w:gridCol w:w="1490"/>
      </w:tblGrid>
      <w:tr>
        <w:trPr>
          <w:trHeight w:val="309" w:hRule="atLeast"/>
        </w:trPr>
        <w:tc>
          <w:tcPr>
            <w:tcW w:w="1985" w:type="dxa"/>
          </w:tcPr>
          <w:p>
            <w:pPr>
              <w:pStyle w:val="TableParagraph"/>
              <w:spacing w:before="3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Voltage</w:t>
            </w:r>
          </w:p>
        </w:tc>
        <w:tc>
          <w:tcPr>
            <w:tcW w:w="4369" w:type="dxa"/>
            <w:gridSpan w:val="4"/>
          </w:tcPr>
          <w:p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≥ </w:t>
            </w:r>
            <w:r>
              <w:rPr>
                <w:sz w:val="20"/>
              </w:rPr>
              <w:t>220V</w:t>
            </w:r>
          </w:p>
        </w:tc>
      </w:tr>
      <w:tr>
        <w:trPr>
          <w:trHeight w:val="580" w:hRule="atLeast"/>
        </w:trPr>
        <w:tc>
          <w:tcPr>
            <w:tcW w:w="1985" w:type="dxa"/>
          </w:tcPr>
          <w:p>
            <w:pPr>
              <w:pStyle w:val="TableParagraph"/>
              <w:spacing w:before="168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Wattage</w:t>
            </w:r>
          </w:p>
        </w:tc>
        <w:tc>
          <w:tcPr>
            <w:tcW w:w="4369" w:type="dxa"/>
            <w:gridSpan w:val="4"/>
          </w:tcPr>
          <w:p>
            <w:pPr>
              <w:pStyle w:val="TableParagraph"/>
              <w:spacing w:before="37"/>
              <w:ind w:left="105"/>
              <w:rPr>
                <w:sz w:val="20"/>
              </w:rPr>
            </w:pPr>
            <w:r>
              <w:rPr>
                <w:sz w:val="20"/>
              </w:rPr>
              <w:t>&lt; 150 Watts</w:t>
            </w:r>
          </w:p>
          <w:p>
            <w:pPr>
              <w:pStyle w:val="TableParagraph"/>
              <w:spacing w:before="34"/>
              <w:ind w:left="105"/>
              <w:rPr>
                <w:sz w:val="20"/>
              </w:rPr>
            </w:pPr>
            <w:r>
              <w:rPr>
                <w:sz w:val="20"/>
              </w:rPr>
              <w:t>(typically 25, 40, 60, 75 and 100 Watts)</w:t>
            </w:r>
          </w:p>
        </w:tc>
      </w:tr>
      <w:tr>
        <w:trPr>
          <w:trHeight w:val="1161" w:hRule="atLeast"/>
        </w:trPr>
        <w:tc>
          <w:tcPr>
            <w:tcW w:w="1985" w:type="dxa"/>
          </w:tcPr>
          <w:p>
            <w:pPr>
              <w:pStyle w:val="TableParagraph"/>
              <w:spacing w:before="4"/>
              <w:rPr>
                <w:sz w:val="27"/>
              </w:rPr>
            </w:pPr>
          </w:p>
          <w:p>
            <w:pPr>
              <w:pStyle w:val="TableParagraph"/>
              <w:spacing w:line="273" w:lineRule="auto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Base: either of – </w:t>
            </w:r>
            <w:r>
              <w:rPr>
                <w:b/>
                <w:sz w:val="20"/>
                <w:u w:val="thick"/>
              </w:rPr>
              <w:t>AND</w:t>
            </w:r>
          </w:p>
        </w:tc>
        <w:tc>
          <w:tcPr>
            <w:tcW w:w="2138" w:type="dxa"/>
            <w:gridSpan w:val="2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63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6790" cy="51654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0" cy="51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1"/>
              <w:ind w:left="683"/>
              <w:rPr>
                <w:b/>
                <w:sz w:val="20"/>
              </w:rPr>
            </w:pPr>
            <w:r>
              <w:rPr>
                <w:b/>
                <w:sz w:val="20"/>
              </w:rPr>
              <w:t>bayonet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rPr>
                <w:sz w:val="4"/>
              </w:rPr>
            </w:pPr>
          </w:p>
          <w:p>
            <w:pPr>
              <w:pStyle w:val="TableParagraph"/>
              <w:ind w:left="69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27561" cy="496062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61" cy="496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9"/>
              <w:ind w:left="753" w:right="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screw</w:t>
            </w:r>
          </w:p>
        </w:tc>
      </w:tr>
      <w:tr>
        <w:trPr>
          <w:trHeight w:val="1537" w:hRule="atLeast"/>
        </w:trPr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line="271" w:lineRule="auto"/>
              <w:ind w:left="105" w:right="371"/>
              <w:rPr>
                <w:b/>
                <w:sz w:val="20"/>
              </w:rPr>
            </w:pPr>
            <w:r>
              <w:rPr>
                <w:b/>
                <w:sz w:val="20"/>
              </w:rPr>
              <w:t>Shape: any of – </w:t>
            </w:r>
            <w:r>
              <w:rPr>
                <w:b/>
                <w:sz w:val="20"/>
                <w:u w:val="thick"/>
              </w:rPr>
              <w:t>WITH</w:t>
            </w:r>
          </w:p>
        </w:tc>
        <w:tc>
          <w:tcPr>
            <w:tcW w:w="1440" w:type="dxa"/>
          </w:tcPr>
          <w:p>
            <w:pPr>
              <w:pStyle w:val="TableParagraph"/>
              <w:spacing w:before="3"/>
              <w:rPr>
                <w:sz w:val="7"/>
              </w:rPr>
            </w:pPr>
          </w:p>
          <w:p>
            <w:pPr>
              <w:pStyle w:val="TableParagraph"/>
              <w:ind w:left="279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2350" cy="689610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5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0"/>
              <w:ind w:left="484" w:right="4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pear</w:t>
            </w:r>
          </w:p>
        </w:tc>
        <w:tc>
          <w:tcPr>
            <w:tcW w:w="1439" w:type="dxa"/>
            <w:gridSpan w:val="2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25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84995" cy="750188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995" cy="750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0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tubular</w:t>
            </w:r>
          </w:p>
        </w:tc>
        <w:tc>
          <w:tcPr>
            <w:tcW w:w="1490" w:type="dxa"/>
          </w:tcPr>
          <w:p>
            <w:pPr>
              <w:pStyle w:val="TableParagraph"/>
              <w:spacing w:before="10"/>
              <w:rPr>
                <w:sz w:val="5"/>
              </w:rPr>
            </w:pPr>
          </w:p>
          <w:p>
            <w:pPr>
              <w:pStyle w:val="TableParagraph"/>
              <w:ind w:left="22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659505" cy="709422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505" cy="709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2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mushroom</w:t>
            </w:r>
          </w:p>
        </w:tc>
      </w:tr>
      <w:tr>
        <w:trPr>
          <w:trHeight w:val="311" w:hRule="atLeast"/>
        </w:trPr>
        <w:tc>
          <w:tcPr>
            <w:tcW w:w="1985" w:type="dxa"/>
          </w:tcPr>
          <w:p>
            <w:pPr>
              <w:pStyle w:val="TableParagraph"/>
              <w:spacing w:before="3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Bulb diameter</w:t>
            </w:r>
          </w:p>
        </w:tc>
        <w:tc>
          <w:tcPr>
            <w:tcW w:w="4369" w:type="dxa"/>
            <w:gridSpan w:val="4"/>
          </w:tcPr>
          <w:p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rFonts w:ascii="Arial" w:hAnsi="Arial"/>
                <w:sz w:val="20"/>
              </w:rPr>
              <w:t>≥ </w:t>
            </w:r>
            <w:r>
              <w:rPr>
                <w:sz w:val="20"/>
              </w:rPr>
              <w:t>50mm</w:t>
            </w:r>
          </w:p>
        </w:tc>
      </w:tr>
      <w:tr>
        <w:trPr>
          <w:trHeight w:val="1461" w:hRule="atLeast"/>
        </w:trPr>
        <w:tc>
          <w:tcPr>
            <w:tcW w:w="198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37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Finish: either of -</w:t>
            </w:r>
          </w:p>
        </w:tc>
        <w:tc>
          <w:tcPr>
            <w:tcW w:w="2138" w:type="dxa"/>
            <w:gridSpan w:val="2"/>
          </w:tcPr>
          <w:p>
            <w:pPr>
              <w:pStyle w:val="TableParagraph"/>
              <w:spacing w:before="2"/>
              <w:rPr>
                <w:sz w:val="3"/>
              </w:rPr>
            </w:pPr>
          </w:p>
          <w:p>
            <w:pPr>
              <w:pStyle w:val="TableParagraph"/>
              <w:ind w:left="62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51853" cy="704373"/>
                  <wp:effectExtent l="0" t="0" r="0" b="0"/>
                  <wp:docPr id="13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7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853" cy="704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33"/>
              <w:ind w:left="811" w:right="8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clear</w:t>
            </w:r>
          </w:p>
        </w:tc>
        <w:tc>
          <w:tcPr>
            <w:tcW w:w="2231" w:type="dxa"/>
            <w:gridSpan w:val="2"/>
          </w:tcPr>
          <w:p>
            <w:pPr>
              <w:pStyle w:val="TableParagraph"/>
              <w:spacing w:before="10"/>
              <w:rPr>
                <w:sz w:val="3"/>
              </w:rPr>
            </w:pPr>
          </w:p>
          <w:p>
            <w:pPr>
              <w:pStyle w:val="TableParagraph"/>
              <w:ind w:left="67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32350" cy="689610"/>
                  <wp:effectExtent l="0" t="0" r="0" b="0"/>
                  <wp:docPr id="15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4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50" cy="689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2"/>
              <w:ind w:left="756" w:right="7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frosted</w:t>
            </w:r>
          </w:p>
        </w:tc>
      </w:tr>
      <w:tr>
        <w:trPr>
          <w:trHeight w:val="309" w:hRule="atLeast"/>
        </w:trPr>
        <w:tc>
          <w:tcPr>
            <w:tcW w:w="1985" w:type="dxa"/>
          </w:tcPr>
          <w:p>
            <w:pPr>
              <w:pStyle w:val="TableParagraph"/>
              <w:spacing w:before="31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Filament</w:t>
            </w:r>
          </w:p>
        </w:tc>
        <w:tc>
          <w:tcPr>
            <w:tcW w:w="4369" w:type="dxa"/>
            <w:gridSpan w:val="4"/>
          </w:tcPr>
          <w:p>
            <w:pPr>
              <w:pStyle w:val="TableParagraph"/>
              <w:spacing w:before="35"/>
              <w:ind w:left="105"/>
              <w:rPr>
                <w:sz w:val="20"/>
              </w:rPr>
            </w:pPr>
            <w:r>
              <w:rPr>
                <w:sz w:val="20"/>
              </w:rPr>
              <w:t>conventional filament</w:t>
            </w:r>
          </w:p>
        </w:tc>
      </w:tr>
    </w:tbl>
    <w:p>
      <w:pPr>
        <w:pStyle w:val="BodyText"/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35" w:lineRule="auto"/>
        <w:ind w:left="1521" w:right="2226"/>
      </w:pPr>
      <w:r>
        <w:rPr/>
        <w:t>The import prohibition </w:t>
      </w:r>
      <w:r>
        <w:rPr>
          <w:b/>
          <w:u w:val="thick"/>
        </w:rPr>
        <w:t>does not</w:t>
      </w:r>
      <w:r>
        <w:rPr>
          <w:b/>
        </w:rPr>
        <w:t> </w:t>
      </w:r>
      <w:r>
        <w:rPr/>
        <w:t>apply to GLS lamps that are imported as part of other equipment, coloured GLS lamps, silvered GLS lamps, candle lamps; fancy round lamps; halogen or compact fluorescent lamps (CFL).</w:t>
      </w:r>
    </w:p>
    <w:p>
      <w:pPr>
        <w:spacing w:after="0" w:line="235" w:lineRule="auto"/>
        <w:sectPr>
          <w:footerReference w:type="default" r:id="rId5"/>
          <w:type w:val="continuous"/>
          <w:pgSz w:w="11900" w:h="16840"/>
          <w:pgMar w:footer="799" w:top="1140" w:bottom="980" w:left="180" w:right="160"/>
        </w:sectPr>
      </w:pPr>
    </w:p>
    <w:p>
      <w:pPr>
        <w:spacing w:before="77"/>
        <w:ind w:left="1521" w:right="0" w:firstLine="0"/>
        <w:jc w:val="left"/>
        <w:rPr>
          <w:sz w:val="24"/>
        </w:rPr>
      </w:pPr>
      <w:r>
        <w:rPr>
          <w:color w:val="002E7C"/>
          <w:sz w:val="24"/>
        </w:rPr>
        <w:t>Further Information</w:t>
      </w:r>
    </w:p>
    <w:p>
      <w:pPr>
        <w:pStyle w:val="BodyText"/>
        <w:spacing w:before="11"/>
        <w:rPr>
          <w:sz w:val="18"/>
        </w:rPr>
      </w:pPr>
    </w:p>
    <w:p>
      <w:pPr>
        <w:pStyle w:val="Heading1"/>
        <w:spacing w:line="237" w:lineRule="exact"/>
      </w:pPr>
      <w:r>
        <w:rPr/>
        <w:t>Penalty</w:t>
      </w:r>
    </w:p>
    <w:p>
      <w:pPr>
        <w:pStyle w:val="BodyText"/>
        <w:spacing w:line="231" w:lineRule="exact"/>
        <w:ind w:left="1521"/>
      </w:pPr>
      <w:r>
        <w:rPr/>
        <w:t>The maximum penalty for importing these goods without import approval is a fine not exceeding</w:t>
      </w:r>
    </w:p>
    <w:p>
      <w:pPr>
        <w:pStyle w:val="BodyText"/>
        <w:spacing w:line="233" w:lineRule="exact"/>
        <w:ind w:left="1521"/>
      </w:pPr>
      <w:r>
        <w:rPr/>
        <w:t>$110,000 or 5 times the value of the goods, whichever is the greater.</w:t>
      </w:r>
    </w:p>
    <w:p>
      <w:pPr>
        <w:pStyle w:val="BodyText"/>
        <w:spacing w:before="9"/>
        <w:rPr>
          <w:sz w:val="18"/>
        </w:rPr>
      </w:pPr>
    </w:p>
    <w:p>
      <w:pPr>
        <w:pStyle w:val="Heading1"/>
        <w:spacing w:before="1"/>
      </w:pPr>
      <w:r>
        <w:rPr/>
        <w:t>Contacts</w:t>
      </w:r>
    </w:p>
    <w:p>
      <w:pPr>
        <w:pStyle w:val="BodyText"/>
        <w:spacing w:line="235" w:lineRule="auto"/>
        <w:ind w:left="1521" w:right="1659"/>
      </w:pPr>
      <w:r>
        <w:rPr/>
        <w:t>For information on the background to this import restriction contact the Department of Industry, Ph. 1800 770 161 or </w:t>
      </w:r>
      <w:hyperlink r:id="rId15">
        <w:r>
          <w:rPr/>
          <w:t>energyrating@industry.gov.au</w:t>
        </w:r>
      </w:hyperlink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35" w:lineRule="auto"/>
        <w:ind w:left="1521" w:right="2082"/>
        <w:jc w:val="both"/>
      </w:pPr>
      <w:r>
        <w:rPr/>
        <w:t>Inquiries concerning this notice </w:t>
      </w:r>
      <w:r>
        <w:rPr>
          <w:spacing w:val="2"/>
        </w:rPr>
        <w:t>may </w:t>
      </w:r>
      <w:r>
        <w:rPr/>
        <w:t>be directed to the Manager, Environment and Wildlife, Community Protection, Australian Customs and Border Protection Service on telephone number (02) 6229 3825 or</w:t>
      </w:r>
      <w:r>
        <w:rPr>
          <w:spacing w:val="-8"/>
        </w:rPr>
        <w:t> </w:t>
      </w:r>
      <w:hyperlink r:id="rId16">
        <w:r>
          <w:rPr>
            <w:color w:val="0000FF"/>
            <w:u w:val="single" w:color="0000FF"/>
          </w:rPr>
          <w:t>environment.wildlife@customs.gov.au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35" w:lineRule="auto"/>
        <w:ind w:left="1521" w:right="8440"/>
      </w:pPr>
      <w:r>
        <w:rPr/>
        <w:t>Geoff Johannes National Manager Trade Branch</w:t>
      </w:r>
    </w:p>
    <w:p>
      <w:pPr>
        <w:pStyle w:val="BodyText"/>
        <w:spacing w:line="235" w:lineRule="auto"/>
        <w:ind w:left="1521" w:right="7506"/>
      </w:pPr>
      <w:r>
        <w:rPr/>
        <w:t>Trade and Customs Division CANBERRA ACT</w:t>
      </w:r>
    </w:p>
    <w:p>
      <w:pPr>
        <w:pStyle w:val="BodyText"/>
        <w:spacing w:line="231" w:lineRule="exact"/>
        <w:ind w:left="1521"/>
      </w:pPr>
      <w:r>
        <w:rPr/>
        <w:t>Updated September 2014</w:t>
      </w:r>
    </w:p>
    <w:sectPr>
      <w:footerReference w:type="default" r:id="rId14"/>
      <w:pgSz w:w="11900" w:h="16840"/>
      <w:pgMar w:footer="569" w:header="0" w:top="1600" w:bottom="76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25.480408pt;margin-top:791.037659pt;width:75.850pt;height:12pt;mso-position-horizontal-relative:page;mso-position-vertical-relative:page;z-index:-15833088" type="#_x0000_t202" filled="false" stroked="false">
          <v:textbox inset="0,0,0,0">
            <w:txbxContent>
              <w:p>
                <w:pPr>
                  <w:pStyle w:val="BodyText"/>
                  <w:spacing w:line="220" w:lineRule="exact"/>
                  <w:ind w:left="20"/>
                </w:pPr>
                <w:r>
                  <w:rPr/>
                  <w:t>September 2014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25.480408pt;margin-top:802.557495pt;width:75.850pt;height:12pt;mso-position-horizontal-relative:page;mso-position-vertical-relative:page;z-index:-15832576" type="#_x0000_t202" filled="false" stroked="false">
          <v:textbox inset="0,0,0,0">
            <w:txbxContent>
              <w:p>
                <w:pPr>
                  <w:pStyle w:val="BodyText"/>
                  <w:spacing w:line="220" w:lineRule="exact"/>
                  <w:ind w:left="20"/>
                </w:pPr>
                <w:r>
                  <w:rPr/>
                  <w:t>September 2014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Heading1" w:type="paragraph">
    <w:name w:val="Heading 1"/>
    <w:basedOn w:val="Normal"/>
    <w:uiPriority w:val="1"/>
    <w:qFormat/>
    <w:pPr>
      <w:spacing w:line="235" w:lineRule="exact"/>
      <w:ind w:left="1521"/>
      <w:outlineLvl w:val="1"/>
    </w:pPr>
    <w:rPr>
      <w:rFonts w:ascii="Helvetica" w:hAnsi="Helvetica" w:eastAsia="Helvetica" w:cs="Helvetica"/>
      <w:b/>
      <w:bCs/>
      <w:sz w:val="20"/>
      <w:szCs w:val="20"/>
    </w:rPr>
  </w:style>
  <w:style w:styleId="Title" w:type="paragraph">
    <w:name w:val="Title"/>
    <w:basedOn w:val="Normal"/>
    <w:uiPriority w:val="1"/>
    <w:qFormat/>
    <w:pPr>
      <w:spacing w:before="39"/>
      <w:ind w:left="1917" w:right="1933"/>
      <w:jc w:val="center"/>
    </w:pPr>
    <w:rPr>
      <w:rFonts w:ascii="Helvetica" w:hAnsi="Helvetica" w:eastAsia="Helvetica" w:cs="Helvetica"/>
      <w:b/>
      <w:bCs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energyrating.gov.au/programs/e3-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footer" Target="footer2.xml"/><Relationship Id="rId15" Type="http://schemas.openxmlformats.org/officeDocument/2006/relationships/hyperlink" Target="mailto:energyrating@industry.gov.au" TargetMode="External"/><Relationship Id="rId16" Type="http://schemas.openxmlformats.org/officeDocument/2006/relationships/hyperlink" Target="mailto:environment.wildlife@customs.gov.a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c8dca</dc:creator>
  <dc:title>Microsoft Word - ACN_2009_04_Lightglobes_september_2014.doc</dc:title>
  <dcterms:created xsi:type="dcterms:W3CDTF">2020-12-09T22:47:01Z</dcterms:created>
  <dcterms:modified xsi:type="dcterms:W3CDTF">2020-12-09T22:47:01Z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