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Title"/>
      </w:pPr>
      <w:r>
        <w:rPr/>
        <w:t>AUSTRALIAN CUSTOMS NOTICE NO. 2009/54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3"/>
        </w:rPr>
      </w:pPr>
    </w:p>
    <w:p>
      <w:pPr>
        <w:spacing w:before="102"/>
        <w:ind w:left="1521" w:right="0" w:firstLine="0"/>
        <w:jc w:val="left"/>
        <w:rPr>
          <w:b/>
          <w:sz w:val="24"/>
        </w:rPr>
      </w:pPr>
      <w:r>
        <w:rPr>
          <w:b/>
          <w:sz w:val="24"/>
        </w:rPr>
        <w:t>End-date for item 53C in Schedule 4 to the Customs Tariff Act 1995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line="235" w:lineRule="auto" w:before="1"/>
        <w:ind w:left="1521" w:right="1610"/>
      </w:pPr>
      <w:r>
        <w:rPr/>
        <w:t>Item 53C in Schedule 4 to the </w:t>
      </w:r>
      <w:r>
        <w:rPr>
          <w:i/>
        </w:rPr>
        <w:t>Customs Tariff Act 1995 </w:t>
      </w:r>
      <w:r>
        <w:rPr/>
        <w:t>provides a mechanism to reduce rates of Customs duty for goods that are not “of a kind used as components in passenger motor vehicles”, to the rate that applies to other manufactured goods. Item 53C reduces the General rate of duty from 10% to 5% for such goods.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521" w:right="1791"/>
      </w:pPr>
      <w:r>
        <w:rPr/>
        <w:t>On 1 January 2010, the General rate of Customs duty for components for passenger motor vehicles will fall from 10% to 5%. (Australian Customs Notice 2009/49 refers). As a consequence, there will no longer be a need for the item 53C concession and the item will be redundant.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2" w:lineRule="exact"/>
        <w:ind w:left="1521"/>
      </w:pPr>
      <w:r>
        <w:rPr/>
        <w:t>Customs Notice (No. 3) 2009 was published in a Special Commonwealth Gazette on</w:t>
      </w:r>
    </w:p>
    <w:p>
      <w:pPr>
        <w:pStyle w:val="BodyText"/>
        <w:spacing w:line="232" w:lineRule="exact"/>
        <w:ind w:left="1521"/>
      </w:pPr>
      <w:r>
        <w:rPr/>
        <w:t>14 December 2009 to insert a sunset provision of 31 December 2009 into the text of the item.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521" w:right="1548"/>
      </w:pPr>
      <w:r>
        <w:rPr/>
        <w:t>Item 53C operates through treatment code 853. Importers should note that treatment code 853 will not operate in the Integrated Cargo System (ICS) from 1 January 2010. Importers should take action to remove treatment code 853 from import declarations created in the ICS from that date.</w:t>
      </w:r>
    </w:p>
    <w:p>
      <w:pPr>
        <w:pStyle w:val="BodyText"/>
        <w:spacing w:line="460" w:lineRule="exact" w:before="47"/>
        <w:ind w:left="1521" w:right="1548"/>
      </w:pPr>
      <w:r>
        <w:rPr/>
        <w:t>Customs Tariff Working Page Schedule 4/27 (R.9) will be issued in connection with this change. For further information, please contact the Manager Tariff Legislation on telephone number</w:t>
      </w:r>
    </w:p>
    <w:p>
      <w:pPr>
        <w:pStyle w:val="BodyText"/>
        <w:spacing w:line="184" w:lineRule="exact"/>
        <w:ind w:left="1521"/>
      </w:pPr>
      <w:r>
        <w:rPr/>
        <w:t>02 6275 6542.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35" w:lineRule="auto" w:before="1"/>
        <w:ind w:left="1521" w:right="7984"/>
      </w:pPr>
      <w:r>
        <w:rPr/>
        <w:t>Jennifer Reimitz National Manager Trade Services Branch 11 December 2009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704" w:right="2717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and Border Protection Service</dc:creator>
  <cp:keywords>End-date for item 53C in Schedule 4 to the Customs Tariff Act 1995</cp:keywords>
  <dc:subject>ACN NO. 2009/54</dc:subject>
  <dc:title>End-date for item 53C in Schedule 4 to the Customs Tariff Act 1995</dc:title>
  <dcterms:created xsi:type="dcterms:W3CDTF">2020-12-09T23:11:27Z</dcterms:created>
  <dcterms:modified xsi:type="dcterms:W3CDTF">2020-12-09T23:11:27Z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