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2010/11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1681"/>
      </w:pPr>
      <w:r>
        <w:rPr/>
        <w:t>The following company and persons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397"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772"/>
              <w:rPr>
                <w:sz w:val="20"/>
              </w:rPr>
            </w:pPr>
            <w:r>
              <w:rPr>
                <w:sz w:val="20"/>
              </w:rPr>
              <w:t>Dart Global Logistics Pty Ltd ABN 25 006 570 592</w:t>
            </w:r>
          </w:p>
          <w:p>
            <w:pPr>
              <w:pStyle w:val="TableParagraph"/>
              <w:spacing w:line="230" w:lineRule="exact" w:before="2"/>
              <w:ind w:right="2361"/>
              <w:rPr>
                <w:sz w:val="20"/>
              </w:rPr>
            </w:pPr>
            <w:r>
              <w:rPr>
                <w:sz w:val="20"/>
              </w:rPr>
              <w:t>Unit 1, MIAC Building Tullamarine VIC 3043</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INDIVIDUALS</w:t>
            </w:r>
          </w:p>
          <w:p>
            <w:pPr>
              <w:pStyle w:val="TableParagraph"/>
              <w:spacing w:line="470" w:lineRule="auto"/>
              <w:ind w:right="1954"/>
              <w:rPr>
                <w:sz w:val="20"/>
              </w:rPr>
            </w:pPr>
            <w:r>
              <w:rPr>
                <w:sz w:val="20"/>
              </w:rPr>
              <w:t>YANG, Xuan Jennifer MADDEN, Annabel Marie</w:t>
            </w:r>
          </w:p>
        </w:tc>
      </w:tr>
      <w:tr>
        <w:trPr>
          <w:trHeight w:val="343" w:hRule="atLeast"/>
        </w:trPr>
        <w:tc>
          <w:tcPr>
            <w:tcW w:w="4433" w:type="dxa"/>
            <w:tcBorders>
              <w:top w:val="nil"/>
              <w:bottom w:val="nil"/>
            </w:tcBorders>
          </w:tcPr>
          <w:p>
            <w:pPr>
              <w:pStyle w:val="TableParagraph"/>
              <w:ind w:left="0"/>
              <w:rPr>
                <w:rFonts w:ascii="Times New Roman"/>
                <w:sz w:val="20"/>
              </w:rPr>
            </w:pPr>
          </w:p>
        </w:tc>
        <w:tc>
          <w:tcPr>
            <w:tcW w:w="4359" w:type="dxa"/>
            <w:tcBorders>
              <w:top w:val="nil"/>
              <w:bottom w:val="nil"/>
            </w:tcBorders>
          </w:tcPr>
          <w:p>
            <w:pPr>
              <w:pStyle w:val="TableParagraph"/>
              <w:spacing w:line="215" w:lineRule="exact"/>
              <w:rPr>
                <w:sz w:val="20"/>
              </w:rPr>
            </w:pPr>
            <w:r>
              <w:rPr>
                <w:sz w:val="20"/>
              </w:rPr>
              <w:t>GOODWIN, Mark Christopher</w:t>
            </w:r>
          </w:p>
        </w:tc>
      </w:tr>
      <w:tr>
        <w:trPr>
          <w:trHeight w:val="1149" w:hRule="atLeast"/>
        </w:trPr>
        <w:tc>
          <w:tcPr>
            <w:tcW w:w="4433" w:type="dxa"/>
            <w:tcBorders>
              <w:top w:val="nil"/>
              <w:bottom w:val="nil"/>
            </w:tcBorders>
          </w:tcPr>
          <w:p>
            <w:pPr>
              <w:pStyle w:val="TableParagraph"/>
              <w:spacing w:line="235" w:lineRule="auto" w:before="94"/>
              <w:ind w:right="1461"/>
              <w:rPr>
                <w:sz w:val="20"/>
              </w:rPr>
            </w:pPr>
            <w:r>
              <w:rPr>
                <w:b/>
                <w:sz w:val="20"/>
              </w:rPr>
              <w:t>Persons in Authority </w:t>
            </w:r>
            <w:r>
              <w:rPr>
                <w:sz w:val="20"/>
              </w:rPr>
              <w:t>SIMPSON, David Mark SAMARASINHA, Hiran Anthony</w:t>
            </w:r>
          </w:p>
        </w:tc>
        <w:tc>
          <w:tcPr>
            <w:tcW w:w="4359" w:type="dxa"/>
            <w:tcBorders>
              <w:top w:val="nil"/>
              <w:bottom w:val="nil"/>
            </w:tcBorders>
          </w:tcPr>
          <w:p>
            <w:pPr>
              <w:pStyle w:val="TableParagraph"/>
              <w:ind w:left="0"/>
              <w:rPr>
                <w:rFonts w:ascii="Times New Roman"/>
                <w:sz w:val="20"/>
              </w:rPr>
            </w:pPr>
          </w:p>
        </w:tc>
      </w:tr>
      <w:tr>
        <w:trPr>
          <w:trHeight w:val="1021" w:hRule="atLeast"/>
        </w:trPr>
        <w:tc>
          <w:tcPr>
            <w:tcW w:w="4433" w:type="dxa"/>
            <w:tcBorders>
              <w:top w:val="nil"/>
            </w:tcBorders>
          </w:tcPr>
          <w:p>
            <w:pPr>
              <w:pStyle w:val="TableParagraph"/>
              <w:spacing w:before="3"/>
              <w:ind w:left="0"/>
              <w:rPr>
                <w:sz w:val="27"/>
              </w:rPr>
            </w:pPr>
          </w:p>
          <w:p>
            <w:pPr>
              <w:pStyle w:val="TableParagraph"/>
              <w:spacing w:line="237" w:lineRule="exact"/>
              <w:rPr>
                <w:b/>
                <w:sz w:val="20"/>
              </w:rPr>
            </w:pPr>
            <w:r>
              <w:rPr>
                <w:b/>
                <w:sz w:val="20"/>
              </w:rPr>
              <w:t>Nominee Broker</w:t>
            </w:r>
          </w:p>
          <w:p>
            <w:pPr>
              <w:pStyle w:val="TableParagraph"/>
              <w:spacing w:line="233" w:lineRule="exact"/>
              <w:rPr>
                <w:sz w:val="20"/>
              </w:rPr>
            </w:pPr>
            <w:r>
              <w:rPr>
                <w:sz w:val="20"/>
              </w:rPr>
              <w:t>SIMPSON, David Mark</w:t>
            </w:r>
          </w:p>
        </w:tc>
        <w:tc>
          <w:tcPr>
            <w:tcW w:w="4359" w:type="dxa"/>
            <w:tcBorders>
              <w:top w:val="nil"/>
            </w:tcBorders>
          </w:tcPr>
          <w:p>
            <w:pPr>
              <w:pStyle w:val="TableParagraph"/>
              <w:ind w:left="0"/>
              <w:rPr>
                <w:rFonts w:ascii="Times New Roman"/>
                <w:sz w:val="20"/>
              </w:rPr>
            </w:pPr>
          </w:p>
        </w:tc>
      </w:tr>
    </w:tbl>
    <w:p>
      <w:pPr>
        <w:pStyle w:val="BodyText"/>
        <w:spacing w:before="7"/>
        <w:rPr>
          <w:sz w:val="19"/>
        </w:rPr>
      </w:pPr>
    </w:p>
    <w:p>
      <w:pPr>
        <w:pStyle w:val="BodyText"/>
        <w:spacing w:line="232" w:lineRule="auto"/>
        <w:ind w:left="1521" w:right="1681"/>
      </w:pPr>
      <w:r>
        <w:rPr/>
        <w:t>Any persons wishing to make written representation in respect of these applications should address the correspondence by 22 March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5"/>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8" w:lineRule="exact"/>
        <w:ind w:left="1521"/>
      </w:pPr>
      <w:r>
        <w:rPr/>
        <w:t>5 Constitution Avenue</w:t>
      </w:r>
    </w:p>
    <w:p>
      <w:pPr>
        <w:pStyle w:val="BodyText"/>
        <w:spacing w:line="232" w:lineRule="exact"/>
        <w:ind w:left="1521"/>
      </w:pPr>
      <w:r>
        <w:rPr/>
        <w:t>CANBERRA ACT 2601</w:t>
      </w:r>
    </w:p>
    <w:p>
      <w:pPr>
        <w:pStyle w:val="BodyText"/>
      </w:pPr>
      <w:r>
        <w:rPr/>
        <w:br w:type="column"/>
      </w:r>
      <w:r>
        <w:rPr/>
      </w:r>
    </w:p>
    <w:p>
      <w:pPr>
        <w:pStyle w:val="BodyText"/>
        <w:spacing w:before="173"/>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pPr>
    </w:p>
    <w:p>
      <w:pPr>
        <w:pStyle w:val="BodyText"/>
        <w:spacing w:before="1"/>
        <w:rPr>
          <w:sz w:val="19"/>
        </w:rPr>
      </w:pPr>
    </w:p>
    <w:p>
      <w:pPr>
        <w:pStyle w:val="BodyText"/>
        <w:spacing w:line="235" w:lineRule="auto" w:before="1"/>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7"/>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3"/>
        <w:rPr>
          <w:sz w:val="18"/>
        </w:rPr>
      </w:pPr>
    </w:p>
    <w:p>
      <w:pPr>
        <w:pStyle w:val="BodyText"/>
        <w:spacing w:line="235" w:lineRule="auto"/>
        <w:ind w:left="1521" w:right="8385"/>
      </w:pPr>
      <w:r>
        <w:rPr/>
        <w:t>Craig Sommerville National Manager</w:t>
      </w:r>
    </w:p>
    <w:p>
      <w:pPr>
        <w:pStyle w:val="BodyText"/>
        <w:spacing w:line="235" w:lineRule="auto"/>
        <w:ind w:left="1521" w:right="7273"/>
      </w:pPr>
      <w:r>
        <w:rPr/>
        <w:t>Compliance Assurance Branch for</w:t>
      </w:r>
    </w:p>
    <w:p>
      <w:pPr>
        <w:pStyle w:val="BodyText"/>
        <w:spacing w:line="357" w:lineRule="auto"/>
        <w:ind w:left="1797" w:right="7984" w:hanging="276"/>
      </w:pPr>
      <w:r>
        <w:rPr/>
        <w:t>Chief Executive Officer March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2010-11.doc</dc:title>
  <dcterms:created xsi:type="dcterms:W3CDTF">2020-12-09T23:03:06Z</dcterms:created>
  <dcterms:modified xsi:type="dcterms:W3CDTF">2020-12-09T23:03:06Z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2010-03-04T00:00:00Z</vt:filetime>
  </property>
  <property fmtid="{D5CDD505-2E9C-101B-9397-08002B2CF9AE}" pid="3" name="Creator">
    <vt:lpwstr>PScript5.dll Version 5.2.2</vt:lpwstr>
  </property>
  <property fmtid="{D5CDD505-2E9C-101B-9397-08002B2CF9AE}" pid="4" name="LastSaved">
    <vt:filetime>2020-12-09T00:00:00Z</vt:filetime>
  </property>
</Properties>
</file>