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spacing w:before="11"/>
        <w:ind w:left="0"/>
        <w:rPr>
          <w:rFonts w:ascii="Times New Roman"/>
          <w:sz w:val="21"/>
        </w:rPr>
      </w:pPr>
    </w:p>
    <w:p>
      <w:pPr>
        <w:pStyle w:val="Title"/>
        <w:spacing w:after="17"/>
      </w:pPr>
      <w:r>
        <w:rPr/>
        <w:t>AUSTRALIAN CUSTOMS NOTICE NO. 2010/21</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Title"/>
        <w:spacing w:before="102"/>
      </w:pPr>
      <w:r>
        <w:rPr/>
        <w:t>Application for Customs Broker Licence</w:t>
      </w:r>
    </w:p>
    <w:p>
      <w:pPr>
        <w:pStyle w:val="BodyText"/>
        <w:spacing w:before="5"/>
        <w:ind w:left="0"/>
        <w:rPr>
          <w:b/>
          <w:sz w:val="23"/>
        </w:rPr>
      </w:pPr>
    </w:p>
    <w:p>
      <w:pPr>
        <w:pStyle w:val="BodyText"/>
        <w:spacing w:line="235" w:lineRule="auto"/>
        <w:ind w:right="1781"/>
      </w:pPr>
      <w:r>
        <w:rPr/>
        <w:t>The following company and person have applied to the Chief Executive Officer for a Customs broker licence.</w:t>
      </w:r>
    </w:p>
    <w:p>
      <w:pPr>
        <w:pStyle w:val="BodyText"/>
        <w:spacing w:before="6"/>
        <w:ind w:left="0"/>
        <w:rPr>
          <w:sz w:val="19"/>
        </w:rPr>
      </w:pPr>
    </w:p>
    <w:tbl>
      <w:tblPr>
        <w:tblW w:w="0" w:type="auto"/>
        <w:jc w:val="left"/>
        <w:tblInd w:w="13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3"/>
        <w:gridCol w:w="4359"/>
      </w:tblGrid>
      <w:tr>
        <w:trPr>
          <w:trHeight w:val="1625" w:hRule="atLeast"/>
        </w:trPr>
        <w:tc>
          <w:tcPr>
            <w:tcW w:w="4433"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COMPANY</w:t>
            </w:r>
          </w:p>
          <w:p>
            <w:pPr>
              <w:pStyle w:val="TableParagraph"/>
              <w:spacing w:line="235" w:lineRule="auto" w:before="2"/>
              <w:ind w:right="1416"/>
              <w:rPr>
                <w:sz w:val="20"/>
              </w:rPr>
            </w:pPr>
            <w:r>
              <w:rPr>
                <w:sz w:val="20"/>
              </w:rPr>
              <w:t>Bluestar Global Logistics Pty Ltd ABN 42 141 578 234</w:t>
            </w:r>
          </w:p>
          <w:p>
            <w:pPr>
              <w:pStyle w:val="TableParagraph"/>
              <w:spacing w:line="229" w:lineRule="exact"/>
              <w:rPr>
                <w:sz w:val="20"/>
              </w:rPr>
            </w:pPr>
            <w:r>
              <w:rPr>
                <w:sz w:val="20"/>
              </w:rPr>
              <w:t>24-32 Stanley</w:t>
            </w:r>
            <w:r>
              <w:rPr>
                <w:spacing w:val="-11"/>
                <w:sz w:val="20"/>
              </w:rPr>
              <w:t> </w:t>
            </w:r>
            <w:r>
              <w:rPr>
                <w:sz w:val="20"/>
              </w:rPr>
              <w:t>Drive</w:t>
            </w:r>
          </w:p>
          <w:p>
            <w:pPr>
              <w:pStyle w:val="TableParagraph"/>
              <w:spacing w:line="233" w:lineRule="exact"/>
              <w:rPr>
                <w:sz w:val="20"/>
              </w:rPr>
            </w:pPr>
            <w:r>
              <w:rPr>
                <w:sz w:val="20"/>
              </w:rPr>
              <w:t>Somerton VIC</w:t>
            </w:r>
            <w:r>
              <w:rPr>
                <w:spacing w:val="-10"/>
                <w:sz w:val="20"/>
              </w:rPr>
              <w:t> </w:t>
            </w:r>
            <w:r>
              <w:rPr>
                <w:sz w:val="20"/>
              </w:rPr>
              <w:t>3062</w:t>
            </w:r>
          </w:p>
        </w:tc>
        <w:tc>
          <w:tcPr>
            <w:tcW w:w="4359" w:type="dxa"/>
            <w:tcBorders>
              <w:bottom w:val="nil"/>
            </w:tcBorders>
          </w:tcPr>
          <w:p>
            <w:pPr>
              <w:pStyle w:val="TableParagraph"/>
              <w:spacing w:before="9"/>
              <w:ind w:left="0"/>
              <w:rPr>
                <w:sz w:val="18"/>
              </w:rPr>
            </w:pPr>
          </w:p>
          <w:p>
            <w:pPr>
              <w:pStyle w:val="TableParagraph"/>
              <w:spacing w:line="237" w:lineRule="exact"/>
              <w:rPr>
                <w:b/>
                <w:sz w:val="20"/>
              </w:rPr>
            </w:pPr>
            <w:r>
              <w:rPr>
                <w:b/>
                <w:sz w:val="20"/>
                <w:u w:val="thick"/>
              </w:rPr>
              <w:t>INDIVIDUAL</w:t>
            </w:r>
          </w:p>
          <w:p>
            <w:pPr>
              <w:pStyle w:val="TableParagraph"/>
              <w:spacing w:line="233" w:lineRule="exact"/>
              <w:rPr>
                <w:sz w:val="20"/>
              </w:rPr>
            </w:pPr>
            <w:r>
              <w:rPr>
                <w:sz w:val="20"/>
              </w:rPr>
              <w:t>CALDWELL, Catherine Lisa</w:t>
            </w:r>
          </w:p>
        </w:tc>
      </w:tr>
      <w:tr>
        <w:trPr>
          <w:trHeight w:val="1724" w:hRule="atLeast"/>
        </w:trPr>
        <w:tc>
          <w:tcPr>
            <w:tcW w:w="4433" w:type="dxa"/>
            <w:tcBorders>
              <w:top w:val="nil"/>
              <w:bottom w:val="nil"/>
            </w:tcBorders>
          </w:tcPr>
          <w:p>
            <w:pPr>
              <w:pStyle w:val="TableParagraph"/>
              <w:spacing w:before="9"/>
              <w:ind w:left="0"/>
              <w:rPr>
                <w:sz w:val="17"/>
              </w:rPr>
            </w:pPr>
          </w:p>
          <w:p>
            <w:pPr>
              <w:pStyle w:val="TableParagraph"/>
              <w:spacing w:line="235" w:lineRule="auto"/>
              <w:ind w:right="2329"/>
              <w:rPr>
                <w:sz w:val="20"/>
              </w:rPr>
            </w:pPr>
            <w:r>
              <w:rPr>
                <w:b/>
                <w:sz w:val="20"/>
              </w:rPr>
              <w:t>Persons in Authority </w:t>
            </w:r>
            <w:r>
              <w:rPr>
                <w:sz w:val="20"/>
              </w:rPr>
              <w:t>GUMUS, Murat EIDEH, Mustafa</w:t>
            </w:r>
          </w:p>
          <w:p>
            <w:pPr>
              <w:pStyle w:val="TableParagraph"/>
              <w:spacing w:line="235" w:lineRule="auto" w:before="1"/>
              <w:ind w:right="1117"/>
              <w:rPr>
                <w:sz w:val="20"/>
              </w:rPr>
            </w:pPr>
            <w:r>
              <w:rPr>
                <w:sz w:val="20"/>
              </w:rPr>
              <w:t>PAPADOPOULOS, Sofoklis (Steve) PANAGIOTOU, Michael</w:t>
            </w:r>
          </w:p>
          <w:p>
            <w:pPr>
              <w:pStyle w:val="TableParagraph"/>
              <w:spacing w:line="229" w:lineRule="exact"/>
              <w:rPr>
                <w:sz w:val="20"/>
              </w:rPr>
            </w:pPr>
            <w:r>
              <w:rPr>
                <w:sz w:val="20"/>
              </w:rPr>
              <w:t>MUSCAT, Damian Gerard</w:t>
            </w:r>
          </w:p>
        </w:tc>
        <w:tc>
          <w:tcPr>
            <w:tcW w:w="4359" w:type="dxa"/>
            <w:tcBorders>
              <w:top w:val="nil"/>
              <w:bottom w:val="nil"/>
            </w:tcBorders>
          </w:tcPr>
          <w:p>
            <w:pPr>
              <w:pStyle w:val="TableParagraph"/>
              <w:ind w:left="0"/>
              <w:rPr>
                <w:rFonts w:ascii="Times New Roman"/>
                <w:sz w:val="20"/>
              </w:rPr>
            </w:pPr>
          </w:p>
        </w:tc>
      </w:tr>
      <w:tr>
        <w:trPr>
          <w:trHeight w:val="792" w:hRule="atLeast"/>
        </w:trPr>
        <w:tc>
          <w:tcPr>
            <w:tcW w:w="4433" w:type="dxa"/>
            <w:tcBorders>
              <w:top w:val="nil"/>
            </w:tcBorders>
          </w:tcPr>
          <w:p>
            <w:pPr>
              <w:pStyle w:val="TableParagraph"/>
              <w:spacing w:line="237" w:lineRule="exact" w:before="91"/>
              <w:rPr>
                <w:b/>
                <w:sz w:val="20"/>
              </w:rPr>
            </w:pPr>
            <w:r>
              <w:rPr>
                <w:b/>
                <w:sz w:val="20"/>
              </w:rPr>
              <w:t>Nominee Broker</w:t>
            </w:r>
          </w:p>
          <w:p>
            <w:pPr>
              <w:pStyle w:val="TableParagraph"/>
              <w:spacing w:line="233" w:lineRule="exact"/>
              <w:rPr>
                <w:sz w:val="20"/>
              </w:rPr>
            </w:pPr>
            <w:r>
              <w:rPr>
                <w:sz w:val="20"/>
              </w:rPr>
              <w:t>FARRELL, Anthony Simon</w:t>
            </w:r>
          </w:p>
        </w:tc>
        <w:tc>
          <w:tcPr>
            <w:tcW w:w="4359" w:type="dxa"/>
            <w:tcBorders>
              <w:top w:val="nil"/>
            </w:tcBorders>
          </w:tcPr>
          <w:p>
            <w:pPr>
              <w:pStyle w:val="TableParagraph"/>
              <w:ind w:left="0"/>
              <w:rPr>
                <w:rFonts w:ascii="Times New Roman"/>
                <w:sz w:val="20"/>
              </w:rPr>
            </w:pPr>
          </w:p>
        </w:tc>
      </w:tr>
    </w:tbl>
    <w:p>
      <w:pPr>
        <w:pStyle w:val="BodyText"/>
        <w:spacing w:before="3"/>
        <w:ind w:left="0"/>
        <w:rPr>
          <w:sz w:val="19"/>
        </w:rPr>
      </w:pPr>
    </w:p>
    <w:p>
      <w:pPr>
        <w:pStyle w:val="BodyText"/>
        <w:spacing w:line="235" w:lineRule="auto"/>
        <w:ind w:right="1781"/>
      </w:pPr>
      <w:r>
        <w:rPr/>
        <w:t>Any persons wishing to make written representation in respect of these applications should address the correspondence by 10 May 2010 to:</w:t>
      </w:r>
    </w:p>
    <w:p>
      <w:pPr>
        <w:pStyle w:val="BodyText"/>
        <w:spacing w:before="10"/>
        <w:ind w:left="0"/>
        <w:rPr>
          <w:sz w:val="13"/>
        </w:rPr>
      </w:pPr>
    </w:p>
    <w:p>
      <w:pPr>
        <w:spacing w:after="0"/>
        <w:rPr>
          <w:sz w:val="13"/>
        </w:rPr>
        <w:sectPr>
          <w:type w:val="continuous"/>
          <w:pgSz w:w="11900" w:h="16840"/>
          <w:pgMar w:top="1140" w:bottom="280" w:left="180" w:right="160"/>
        </w:sectPr>
      </w:pPr>
    </w:p>
    <w:p>
      <w:pPr>
        <w:pStyle w:val="BodyText"/>
        <w:spacing w:line="233" w:lineRule="exact" w:before="64"/>
      </w:pPr>
      <w:r>
        <w:rPr/>
        <w:t>Broker Licensing</w:t>
      </w:r>
    </w:p>
    <w:p>
      <w:pPr>
        <w:pStyle w:val="BodyText"/>
        <w:spacing w:line="235" w:lineRule="auto" w:before="1"/>
        <w:ind w:right="-7"/>
      </w:pPr>
      <w:r>
        <w:rPr/>
        <w:t>Australian Customs and</w:t>
      </w:r>
      <w:r>
        <w:rPr>
          <w:spacing w:val="-14"/>
        </w:rPr>
        <w:t> </w:t>
      </w:r>
      <w:r>
        <w:rPr/>
        <w:t>Border Protection Service</w:t>
      </w:r>
    </w:p>
    <w:p>
      <w:pPr>
        <w:pStyle w:val="BodyText"/>
        <w:spacing w:line="227" w:lineRule="exact"/>
      </w:pPr>
      <w:r>
        <w:rPr/>
        <w:t>5 Constitution Avenue</w:t>
      </w:r>
    </w:p>
    <w:p>
      <w:pPr>
        <w:pStyle w:val="BodyText"/>
        <w:spacing w:line="233" w:lineRule="exact"/>
      </w:pPr>
      <w:r>
        <w:rPr/>
        <w:t>CANBERRA ACT 2601</w:t>
      </w:r>
    </w:p>
    <w:p>
      <w:pPr>
        <w:pStyle w:val="BodyText"/>
        <w:ind w:left="0"/>
      </w:pPr>
      <w:r>
        <w:rPr/>
        <w:br w:type="column"/>
      </w:r>
      <w:r>
        <w:rPr/>
      </w:r>
    </w:p>
    <w:p>
      <w:pPr>
        <w:pStyle w:val="BodyText"/>
        <w:spacing w:before="172"/>
      </w:pPr>
      <w:r>
        <w:rPr/>
        <w:t>Or email: </w:t>
      </w:r>
      <w:hyperlink r:id="rId6">
        <w:r>
          <w:rPr>
            <w:color w:val="0000FF"/>
            <w:u w:val="single" w:color="0000FF"/>
          </w:rPr>
          <w:t>brokers.licensing@customs.gov.au</w:t>
        </w:r>
      </w:hyperlink>
    </w:p>
    <w:p>
      <w:pPr>
        <w:spacing w:after="0"/>
        <w:sectPr>
          <w:type w:val="continuous"/>
          <w:pgSz w:w="11900" w:h="16840"/>
          <w:pgMar w:top="1140" w:bottom="280" w:left="180" w:right="160"/>
          <w:cols w:num="2" w:equalWidth="0">
            <w:col w:w="4300" w:space="60"/>
            <w:col w:w="7200"/>
          </w:cols>
        </w:sectPr>
      </w:pPr>
    </w:p>
    <w:p>
      <w:pPr>
        <w:pStyle w:val="BodyText"/>
        <w:spacing w:before="9"/>
        <w:ind w:left="0"/>
        <w:rPr>
          <w:sz w:val="13"/>
        </w:rPr>
      </w:pPr>
    </w:p>
    <w:p>
      <w:pPr>
        <w:pStyle w:val="BodyText"/>
        <w:spacing w:line="235" w:lineRule="auto" w:before="68"/>
        <w:ind w:right="171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line="235" w:lineRule="auto" w:before="118"/>
        <w:ind w:right="1558"/>
      </w:pPr>
      <w:r>
        <w:rPr/>
        <w:t>Applicants will not be provided with a copy of the communication and details of its author unless Customs is authorised by the author to fully disclose the representation.</w:t>
      </w:r>
    </w:p>
    <w:p>
      <w:pPr>
        <w:pStyle w:val="BodyText"/>
        <w:ind w:left="0"/>
      </w:pPr>
    </w:p>
    <w:p>
      <w:pPr>
        <w:pStyle w:val="BodyText"/>
        <w:ind w:left="0"/>
      </w:pPr>
    </w:p>
    <w:p>
      <w:pPr>
        <w:pStyle w:val="BodyText"/>
        <w:ind w:left="0"/>
      </w:pPr>
    </w:p>
    <w:p>
      <w:pPr>
        <w:pStyle w:val="BodyText"/>
        <w:spacing w:before="2"/>
        <w:ind w:left="0"/>
        <w:rPr>
          <w:sz w:val="18"/>
        </w:rPr>
      </w:pPr>
    </w:p>
    <w:p>
      <w:pPr>
        <w:pStyle w:val="BodyText"/>
        <w:spacing w:line="235" w:lineRule="auto"/>
        <w:ind w:right="8707"/>
      </w:pPr>
      <w:r>
        <w:rPr/>
        <w:t>Brendan Tegg Acting Director</w:t>
      </w:r>
    </w:p>
    <w:p>
      <w:pPr>
        <w:pStyle w:val="BodyText"/>
        <w:spacing w:line="235" w:lineRule="auto" w:before="1"/>
        <w:ind w:right="6806"/>
      </w:pPr>
      <w:r>
        <w:rPr/>
        <w:t>Compliance Approach &amp; Framework for</w:t>
      </w:r>
    </w:p>
    <w:p>
      <w:pPr>
        <w:pStyle w:val="BodyText"/>
        <w:spacing w:line="357" w:lineRule="auto"/>
        <w:ind w:right="7984"/>
      </w:pPr>
      <w:r>
        <w:rPr/>
        <w:t>Chief Executive Officer 21 April 2010</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ind w:left="1521"/>
    </w:pPr>
    <w:rPr>
      <w:rFonts w:ascii="Helvetica" w:hAnsi="Helvetica" w:eastAsia="Helvetica" w:cs="Helvetica"/>
      <w:sz w:val="20"/>
      <w:szCs w:val="20"/>
    </w:rPr>
  </w:style>
  <w:style w:styleId="Title" w:type="paragraph">
    <w:name w:val="Title"/>
    <w:basedOn w:val="Normal"/>
    <w:uiPriority w:val="1"/>
    <w:qFormat/>
    <w:pPr>
      <w:spacing w:before="48"/>
      <w:ind w:left="2704" w:right="2717"/>
      <w:jc w:val="center"/>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7"/>
    </w:pPr>
    <w:rPr>
      <w:rFonts w:ascii="Helvetica" w:hAnsi="Helvetica" w:eastAsia="Helvetica" w:cs="Helvetic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c3jmn</dc:creator>
  <dc:title>Microsoft Word - ACN 2010-21.doc</dc:title>
  <dcterms:created xsi:type="dcterms:W3CDTF">2020-12-09T22:36:51Z</dcterms:created>
  <dcterms:modified xsi:type="dcterms:W3CDTF">2020-12-09T22:36:51Z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2010-04-23T00:00:00Z</vt:filetime>
  </property>
  <property fmtid="{D5CDD505-2E9C-101B-9397-08002B2CF9AE}" pid="3" name="Creator">
    <vt:lpwstr>PScript5.dll Version 5.2.2</vt:lpwstr>
  </property>
  <property fmtid="{D5CDD505-2E9C-101B-9397-08002B2CF9AE}" pid="4" name="LastSaved">
    <vt:filetime>2020-12-09T00:00:00Z</vt:filetime>
  </property>
</Properties>
</file>