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0" w:after="16"/>
        <w:ind w:left="2704" w:right="2717"/>
        <w:jc w:val="center"/>
      </w:pPr>
      <w:r>
        <w:rPr/>
        <w:t>AUSTRALIAN CUSTOMS NOTICE NO. 2010/29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7"/>
        </w:rPr>
      </w:pPr>
    </w:p>
    <w:p>
      <w:pPr>
        <w:pStyle w:val="Title"/>
      </w:pPr>
      <w:r>
        <w:rPr/>
        <w:t>Customs Tariff Amendment (Aviation Fuel) Act 2010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35" w:lineRule="auto"/>
        <w:ind w:left="1521" w:right="2003"/>
      </w:pPr>
      <w:r>
        <w:rPr/>
        <w:t>In May 2010, the Government announced an increase in customs duty rates and excise on aviation fuels.</w:t>
      </w:r>
    </w:p>
    <w:p>
      <w:pPr>
        <w:pStyle w:val="BodyText"/>
        <w:spacing w:before="3"/>
        <w:rPr>
          <w:sz w:val="19"/>
        </w:rPr>
      </w:pPr>
    </w:p>
    <w:p>
      <w:pPr>
        <w:spacing w:line="235" w:lineRule="auto" w:before="0"/>
        <w:ind w:left="1521" w:right="1691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Tariff Amendment (Aviation Fuel) Act 2010 </w:t>
      </w:r>
      <w:r>
        <w:rPr>
          <w:sz w:val="20"/>
        </w:rPr>
        <w:t>(CTAAFA) received Royal Assent on 29 June 2010 as Act No. 85 of 2010. The CTAAFA amends the </w:t>
      </w:r>
      <w:r>
        <w:rPr>
          <w:i/>
          <w:sz w:val="20"/>
        </w:rPr>
        <w:t>Customs Tariff Act 1995 </w:t>
      </w:r>
      <w:r>
        <w:rPr>
          <w:sz w:val="20"/>
        </w:rPr>
        <w:t>to increase customs duty rates for imported aviation gasoline and aviation kerosene by $0.00702 per litre, from $0.02854 to $0.03556 per litre.</w:t>
      </w:r>
    </w:p>
    <w:p>
      <w:pPr>
        <w:pStyle w:val="BodyText"/>
        <w:spacing w:before="7"/>
        <w:rPr>
          <w:sz w:val="19"/>
        </w:rPr>
      </w:pPr>
    </w:p>
    <w:p>
      <w:pPr>
        <w:spacing w:line="235" w:lineRule="auto" w:before="0"/>
        <w:ind w:left="1521" w:right="1870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Excise Tariff Amendment (Aviation Fuel) Act 2010 </w:t>
      </w:r>
      <w:r>
        <w:rPr>
          <w:sz w:val="20"/>
        </w:rPr>
        <w:t>amends the </w:t>
      </w:r>
      <w:r>
        <w:rPr>
          <w:i/>
          <w:sz w:val="20"/>
        </w:rPr>
        <w:t>Excise Tariff Act 1921 </w:t>
      </w:r>
      <w:r>
        <w:rPr>
          <w:sz w:val="20"/>
        </w:rPr>
        <w:t>to implement corresponding increases to excise rates for locally manufactured aviation fuel.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Operative Date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5" w:lineRule="auto" w:before="69"/>
        <w:ind w:left="1521" w:right="1691"/>
      </w:pPr>
      <w:r>
        <w:rPr/>
        <w:t>The new rates will operate from 1 July 2010 and they will apply to aviation fuel imported into Australia from any source.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Tariff Reprint Pages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5" w:lineRule="auto" w:before="69"/>
        <w:ind w:left="1521" w:right="1625"/>
      </w:pPr>
      <w:r>
        <w:rPr/>
        <w:t>The Customs and Border Protection will print and distribute the following tariff working pages in the week commencing 5 July 2010 in connection with these changes: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880"/>
        <w:gridCol w:w="2254"/>
        <w:gridCol w:w="1680"/>
      </w:tblGrid>
      <w:tr>
        <w:trPr>
          <w:trHeight w:val="513" w:hRule="atLeast"/>
        </w:trPr>
        <w:tc>
          <w:tcPr>
            <w:tcW w:w="2011" w:type="dxa"/>
          </w:tcPr>
          <w:p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>Schedule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</w:t>
            </w:r>
          </w:p>
          <w:p>
            <w:pPr>
              <w:pStyle w:val="TableParagraph"/>
              <w:spacing w:line="233" w:lineRule="exact"/>
              <w:ind w:left="50"/>
              <w:rPr>
                <w:sz w:val="20"/>
              </w:rPr>
            </w:pPr>
            <w:r>
              <w:rPr>
                <w:sz w:val="20"/>
              </w:rPr>
              <w:t>27/5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(R.25)</w:t>
            </w:r>
          </w:p>
        </w:tc>
        <w:tc>
          <w:tcPr>
            <w:tcW w:w="188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27/7 (R.21)</w:t>
            </w:r>
          </w:p>
        </w:tc>
        <w:tc>
          <w:tcPr>
            <w:tcW w:w="2254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635"/>
              <w:rPr>
                <w:sz w:val="20"/>
              </w:rPr>
            </w:pPr>
            <w:r>
              <w:rPr>
                <w:sz w:val="20"/>
              </w:rPr>
              <w:t>27/9 (R.18)</w:t>
            </w:r>
          </w:p>
        </w:tc>
        <w:tc>
          <w:tcPr>
            <w:tcW w:w="168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620"/>
              <w:rPr>
                <w:sz w:val="20"/>
              </w:rPr>
            </w:pPr>
            <w:r>
              <w:rPr>
                <w:sz w:val="20"/>
              </w:rPr>
              <w:t>27/11 (R.7)</w:t>
            </w:r>
          </w:p>
        </w:tc>
      </w:tr>
      <w:tr>
        <w:trPr>
          <w:trHeight w:val="298" w:hRule="atLeast"/>
        </w:trPr>
        <w:tc>
          <w:tcPr>
            <w:tcW w:w="2011" w:type="dxa"/>
          </w:tcPr>
          <w:p>
            <w:pPr>
              <w:pStyle w:val="TableParagraph"/>
              <w:spacing w:line="230" w:lineRule="exact" w:before="49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>Schedule 5</w:t>
            </w:r>
          </w:p>
        </w:tc>
        <w:tc>
          <w:tcPr>
            <w:tcW w:w="1880" w:type="dxa"/>
          </w:tcPr>
          <w:p>
            <w:pPr>
              <w:pStyle w:val="TableParagraph"/>
              <w:spacing w:line="230" w:lineRule="exact" w:before="49"/>
              <w:ind w:left="261"/>
              <w:rPr>
                <w:sz w:val="20"/>
              </w:rPr>
            </w:pPr>
            <w:r>
              <w:rPr>
                <w:sz w:val="20"/>
                <w:u w:val="single"/>
              </w:rPr>
              <w:t>Schedule 6</w:t>
            </w:r>
          </w:p>
        </w:tc>
        <w:tc>
          <w:tcPr>
            <w:tcW w:w="2254" w:type="dxa"/>
          </w:tcPr>
          <w:p>
            <w:pPr>
              <w:pStyle w:val="TableParagraph"/>
              <w:spacing w:line="230" w:lineRule="exact" w:before="49"/>
              <w:ind w:left="603"/>
              <w:rPr>
                <w:sz w:val="20"/>
              </w:rPr>
            </w:pPr>
            <w:r>
              <w:rPr>
                <w:sz w:val="20"/>
                <w:u w:val="single"/>
              </w:rPr>
              <w:t>Schedule 7</w:t>
            </w:r>
          </w:p>
        </w:tc>
        <w:tc>
          <w:tcPr>
            <w:tcW w:w="1680" w:type="dxa"/>
          </w:tcPr>
          <w:p>
            <w:pPr>
              <w:pStyle w:val="TableParagraph"/>
              <w:spacing w:line="230" w:lineRule="exact" w:before="49"/>
              <w:ind w:left="629"/>
              <w:rPr>
                <w:sz w:val="20"/>
              </w:rPr>
            </w:pPr>
            <w:r>
              <w:rPr>
                <w:sz w:val="20"/>
                <w:u w:val="single"/>
              </w:rPr>
              <w:t>Schedule 8</w:t>
            </w:r>
          </w:p>
        </w:tc>
      </w:tr>
      <w:tr>
        <w:trPr>
          <w:trHeight w:val="230" w:hRule="atLeast"/>
        </w:trPr>
        <w:tc>
          <w:tcPr>
            <w:tcW w:w="2011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5/3 (R.18)</w:t>
            </w:r>
          </w:p>
        </w:tc>
        <w:tc>
          <w:tcPr>
            <w:tcW w:w="1880" w:type="dxa"/>
          </w:tcPr>
          <w:p>
            <w:pPr>
              <w:pStyle w:val="TableParagraph"/>
              <w:spacing w:line="210" w:lineRule="exact"/>
              <w:ind w:left="278"/>
              <w:rPr>
                <w:sz w:val="20"/>
              </w:rPr>
            </w:pPr>
            <w:r>
              <w:rPr>
                <w:sz w:val="20"/>
              </w:rPr>
              <w:t>6/3 (R.17)</w:t>
            </w:r>
          </w:p>
        </w:tc>
        <w:tc>
          <w:tcPr>
            <w:tcW w:w="2254" w:type="dxa"/>
          </w:tcPr>
          <w:p>
            <w:pPr>
              <w:pStyle w:val="TableParagraph"/>
              <w:spacing w:line="210" w:lineRule="exact"/>
              <w:ind w:left="635"/>
              <w:rPr>
                <w:sz w:val="20"/>
              </w:rPr>
            </w:pPr>
            <w:r>
              <w:rPr>
                <w:sz w:val="20"/>
              </w:rPr>
              <w:t>7/3 (R.5)</w:t>
            </w:r>
          </w:p>
        </w:tc>
        <w:tc>
          <w:tcPr>
            <w:tcW w:w="1680" w:type="dxa"/>
          </w:tcPr>
          <w:p>
            <w:pPr>
              <w:pStyle w:val="TableParagraph"/>
              <w:spacing w:line="210" w:lineRule="exact"/>
              <w:ind w:left="620"/>
              <w:rPr>
                <w:sz w:val="20"/>
              </w:rPr>
            </w:pPr>
            <w:r>
              <w:rPr>
                <w:sz w:val="20"/>
              </w:rPr>
              <w:t>8/3 (R.3)</w:t>
            </w:r>
          </w:p>
        </w:tc>
      </w:tr>
      <w:tr>
        <w:trPr>
          <w:trHeight w:val="345" w:hRule="atLeast"/>
        </w:trPr>
        <w:tc>
          <w:tcPr>
            <w:tcW w:w="2011" w:type="dxa"/>
          </w:tcPr>
          <w:p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5/5 (R.4)</w:t>
            </w:r>
          </w:p>
        </w:tc>
        <w:tc>
          <w:tcPr>
            <w:tcW w:w="1880" w:type="dxa"/>
          </w:tcPr>
          <w:p>
            <w:pPr>
              <w:pStyle w:val="TableParagraph"/>
              <w:spacing w:line="216" w:lineRule="exact"/>
              <w:ind w:left="278"/>
              <w:rPr>
                <w:sz w:val="20"/>
              </w:rPr>
            </w:pPr>
            <w:r>
              <w:rPr>
                <w:sz w:val="20"/>
              </w:rPr>
              <w:t>6/5 (R.4)</w:t>
            </w:r>
          </w:p>
        </w:tc>
        <w:tc>
          <w:tcPr>
            <w:tcW w:w="2254" w:type="dxa"/>
          </w:tcPr>
          <w:p>
            <w:pPr>
              <w:pStyle w:val="TableParagraph"/>
              <w:spacing w:line="216" w:lineRule="exact"/>
              <w:ind w:left="635"/>
              <w:rPr>
                <w:sz w:val="20"/>
              </w:rPr>
            </w:pPr>
            <w:r>
              <w:rPr>
                <w:sz w:val="20"/>
              </w:rPr>
              <w:t>7/5 (R.1)</w:t>
            </w:r>
          </w:p>
        </w:tc>
        <w:tc>
          <w:tcPr>
            <w:tcW w:w="1680" w:type="dxa"/>
          </w:tcPr>
          <w:p>
            <w:pPr>
              <w:pStyle w:val="TableParagraph"/>
              <w:spacing w:line="216" w:lineRule="exact"/>
              <w:ind w:left="620"/>
              <w:rPr>
                <w:sz w:val="20"/>
              </w:rPr>
            </w:pPr>
            <w:r>
              <w:rPr>
                <w:sz w:val="20"/>
              </w:rPr>
              <w:t>8/5 (R.1)</w:t>
            </w:r>
          </w:p>
        </w:tc>
      </w:tr>
      <w:tr>
        <w:trPr>
          <w:trHeight w:val="329" w:hRule="atLeast"/>
        </w:trPr>
        <w:tc>
          <w:tcPr>
            <w:tcW w:w="2011" w:type="dxa"/>
          </w:tcPr>
          <w:p>
            <w:pPr>
              <w:pStyle w:val="TableParagraph"/>
              <w:spacing w:line="214" w:lineRule="exact" w:before="96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>Further Information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 w:before="1"/>
        <w:ind w:left="1521" w:right="1625"/>
      </w:pPr>
      <w:r>
        <w:rPr/>
        <w:t>Inquiries concerning this Notice may be directed to the Manager Tariff Legislation on telephone number 02 6275 6542.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35" w:lineRule="auto"/>
        <w:ind w:left="1521" w:right="7984"/>
      </w:pPr>
      <w:r>
        <w:rPr/>
        <w:t>Anthony Seebach National Manager Trade Services Branch CANBERRA ACT</w:t>
      </w:r>
    </w:p>
    <w:p>
      <w:pPr>
        <w:pStyle w:val="BodyText"/>
        <w:spacing w:line="231" w:lineRule="exact"/>
        <w:ind w:left="1521"/>
      </w:pPr>
      <w:r>
        <w:rPr/>
        <w:t>30 June 2010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52"/>
      <w:ind w:left="1521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ACN Tariff Changes for aviation on 1 July  2010 V4.doc</dc:title>
  <dcterms:created xsi:type="dcterms:W3CDTF">2020-12-09T22:50:56Z</dcterms:created>
  <dcterms:modified xsi:type="dcterms:W3CDTF">2020-12-09T22:50:56Z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