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11"/>
        <w:ind w:left="0"/>
        <w:rPr>
          <w:rFonts w:ascii="Times New Roman"/>
          <w:sz w:val="21"/>
        </w:rPr>
      </w:pPr>
    </w:p>
    <w:p>
      <w:pPr>
        <w:pStyle w:val="Title"/>
        <w:spacing w:after="17"/>
      </w:pPr>
      <w:r>
        <w:rPr/>
        <w:t>AUSTRALIAN CUSTOMS NOTICE NO. 2010/35</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before="102"/>
      </w:pPr>
      <w:r>
        <w:rPr/>
        <w:t>Application for Customs Broker Licence</w:t>
      </w:r>
    </w:p>
    <w:p>
      <w:pPr>
        <w:pStyle w:val="BodyText"/>
        <w:spacing w:before="5"/>
        <w:ind w:left="0"/>
        <w:rPr>
          <w:b/>
          <w:sz w:val="23"/>
        </w:rPr>
      </w:pPr>
    </w:p>
    <w:p>
      <w:pPr>
        <w:pStyle w:val="BodyText"/>
        <w:spacing w:line="235" w:lineRule="auto"/>
        <w:ind w:right="1525"/>
      </w:pPr>
      <w:r>
        <w:rPr/>
        <w:t>The following companies and persons have applied to the Chief Executive Officer for a Customs broker licence.</w:t>
      </w:r>
    </w:p>
    <w:p>
      <w:pPr>
        <w:pStyle w:val="BodyText"/>
        <w:spacing w:before="6"/>
        <w:ind w:left="0"/>
        <w:rPr>
          <w:sz w:val="19"/>
        </w:rPr>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0"/>
        <w:gridCol w:w="2705"/>
        <w:gridCol w:w="2847"/>
      </w:tblGrid>
      <w:tr>
        <w:trPr>
          <w:trHeight w:val="3810" w:hRule="atLeast"/>
        </w:trPr>
        <w:tc>
          <w:tcPr>
            <w:tcW w:w="3060" w:type="dxa"/>
            <w:tcBorders>
              <w:bottom w:val="nil"/>
            </w:tcBorders>
          </w:tcPr>
          <w:p>
            <w:pPr>
              <w:pStyle w:val="TableParagraph"/>
              <w:spacing w:line="227" w:lineRule="exact"/>
              <w:rPr>
                <w:b/>
                <w:sz w:val="20"/>
              </w:rPr>
            </w:pPr>
            <w:r>
              <w:rPr>
                <w:b/>
                <w:sz w:val="20"/>
                <w:u w:val="thick"/>
              </w:rPr>
              <w:t>COMPANY</w:t>
            </w:r>
          </w:p>
          <w:p>
            <w:pPr>
              <w:pStyle w:val="TableParagraph"/>
              <w:spacing w:line="235" w:lineRule="auto" w:before="2"/>
              <w:rPr>
                <w:sz w:val="20"/>
              </w:rPr>
            </w:pPr>
            <w:r>
              <w:rPr>
                <w:sz w:val="20"/>
              </w:rPr>
              <w:t>Pioneer International Logistics Pty Ltd</w:t>
            </w:r>
          </w:p>
          <w:p>
            <w:pPr>
              <w:pStyle w:val="TableParagraph"/>
              <w:spacing w:line="229" w:lineRule="exact"/>
              <w:rPr>
                <w:sz w:val="20"/>
              </w:rPr>
            </w:pPr>
            <w:r>
              <w:rPr>
                <w:sz w:val="20"/>
              </w:rPr>
              <w:t>ABN 35 144 047 450</w:t>
            </w:r>
          </w:p>
          <w:p>
            <w:pPr>
              <w:pStyle w:val="TableParagraph"/>
              <w:spacing w:line="230" w:lineRule="exact"/>
              <w:rPr>
                <w:sz w:val="20"/>
              </w:rPr>
            </w:pPr>
            <w:r>
              <w:rPr>
                <w:sz w:val="20"/>
              </w:rPr>
              <w:t>Level 4, 44-48 Hunter Street</w:t>
            </w:r>
          </w:p>
          <w:p>
            <w:pPr>
              <w:pStyle w:val="TableParagraph"/>
              <w:spacing w:line="233" w:lineRule="exact"/>
              <w:rPr>
                <w:sz w:val="20"/>
              </w:rPr>
            </w:pPr>
            <w:r>
              <w:rPr>
                <w:sz w:val="20"/>
              </w:rPr>
              <w:t>Sydney NSW 2000</w:t>
            </w:r>
          </w:p>
          <w:p>
            <w:pPr>
              <w:pStyle w:val="TableParagraph"/>
              <w:spacing w:before="11"/>
              <w:ind w:left="0"/>
              <w:rPr>
                <w:sz w:val="18"/>
              </w:rPr>
            </w:pPr>
          </w:p>
          <w:p>
            <w:pPr>
              <w:pStyle w:val="TableParagraph"/>
              <w:spacing w:line="235" w:lineRule="auto"/>
              <w:ind w:right="266"/>
              <w:rPr>
                <w:sz w:val="20"/>
              </w:rPr>
            </w:pPr>
            <w:r>
              <w:rPr>
                <w:b/>
                <w:sz w:val="20"/>
                <w:u w:val="thick"/>
              </w:rPr>
              <w:t>Persons in Authority</w:t>
            </w:r>
            <w:r>
              <w:rPr>
                <w:b/>
                <w:sz w:val="20"/>
              </w:rPr>
              <w:t> </w:t>
            </w:r>
            <w:r>
              <w:rPr>
                <w:sz w:val="20"/>
              </w:rPr>
              <w:t>MERCER, Scott Richard ERSKINE, Robert James RIGNEY, Damian Christopher TERRY, Christopher</w:t>
            </w:r>
          </w:p>
          <w:p>
            <w:pPr>
              <w:pStyle w:val="TableParagraph"/>
              <w:spacing w:line="228" w:lineRule="exact"/>
              <w:rPr>
                <w:sz w:val="20"/>
              </w:rPr>
            </w:pPr>
            <w:r>
              <w:rPr>
                <w:sz w:val="20"/>
              </w:rPr>
              <w:t>John Raymond</w:t>
            </w:r>
          </w:p>
          <w:p>
            <w:pPr>
              <w:pStyle w:val="TableParagraph"/>
              <w:spacing w:line="235" w:lineRule="auto" w:before="1"/>
              <w:ind w:right="611"/>
              <w:rPr>
                <w:sz w:val="20"/>
              </w:rPr>
            </w:pPr>
            <w:r>
              <w:rPr>
                <w:sz w:val="20"/>
              </w:rPr>
              <w:t>TERRY, Jonathan William NEWELL, Peter Geoffrey RIGNEY, Kimberley Anne</w:t>
            </w:r>
          </w:p>
        </w:tc>
        <w:tc>
          <w:tcPr>
            <w:tcW w:w="2705" w:type="dxa"/>
            <w:tcBorders>
              <w:bottom w:val="nil"/>
            </w:tcBorders>
          </w:tcPr>
          <w:p>
            <w:pPr>
              <w:pStyle w:val="TableParagraph"/>
              <w:spacing w:line="227" w:lineRule="exact"/>
              <w:rPr>
                <w:b/>
                <w:sz w:val="20"/>
              </w:rPr>
            </w:pPr>
            <w:r>
              <w:rPr>
                <w:b/>
                <w:sz w:val="20"/>
                <w:u w:val="thick"/>
              </w:rPr>
              <w:t>COMPANY</w:t>
            </w:r>
          </w:p>
          <w:p>
            <w:pPr>
              <w:pStyle w:val="TableParagraph"/>
              <w:spacing w:line="235" w:lineRule="auto" w:before="2"/>
              <w:ind w:right="710"/>
              <w:rPr>
                <w:sz w:val="20"/>
              </w:rPr>
            </w:pPr>
            <w:r>
              <w:rPr>
                <w:sz w:val="20"/>
              </w:rPr>
              <w:t>Townley Group International Pty Ltd ABN 31 124 961 413</w:t>
            </w:r>
          </w:p>
          <w:p>
            <w:pPr>
              <w:pStyle w:val="TableParagraph"/>
              <w:spacing w:line="235" w:lineRule="auto"/>
              <w:ind w:right="411"/>
              <w:rPr>
                <w:sz w:val="20"/>
              </w:rPr>
            </w:pPr>
            <w:r>
              <w:rPr>
                <w:sz w:val="20"/>
              </w:rPr>
              <w:t>Unit 1, 15 Commerce Circuit Yatala QLD 4207</w:t>
            </w:r>
          </w:p>
          <w:p>
            <w:pPr>
              <w:pStyle w:val="TableParagraph"/>
              <w:spacing w:before="8"/>
              <w:ind w:left="0"/>
              <w:rPr>
                <w:sz w:val="18"/>
              </w:rPr>
            </w:pPr>
          </w:p>
          <w:p>
            <w:pPr>
              <w:pStyle w:val="TableParagraph"/>
              <w:spacing w:line="237" w:lineRule="exact"/>
              <w:rPr>
                <w:b/>
                <w:sz w:val="20"/>
              </w:rPr>
            </w:pPr>
            <w:r>
              <w:rPr>
                <w:b/>
                <w:sz w:val="20"/>
                <w:u w:val="thick"/>
              </w:rPr>
              <w:t>Persons in Authority</w:t>
            </w:r>
          </w:p>
          <w:p>
            <w:pPr>
              <w:pStyle w:val="TableParagraph"/>
              <w:spacing w:line="233" w:lineRule="exact"/>
              <w:rPr>
                <w:sz w:val="20"/>
              </w:rPr>
            </w:pPr>
            <w:r>
              <w:rPr>
                <w:sz w:val="20"/>
              </w:rPr>
              <w:t>TOWNLEY, Peter James</w:t>
            </w:r>
          </w:p>
          <w:p>
            <w:pPr>
              <w:pStyle w:val="TableParagraph"/>
              <w:spacing w:before="10"/>
              <w:ind w:left="0"/>
              <w:rPr>
                <w:sz w:val="18"/>
              </w:rPr>
            </w:pPr>
          </w:p>
          <w:p>
            <w:pPr>
              <w:pStyle w:val="TableParagraph"/>
              <w:spacing w:line="237" w:lineRule="exact"/>
              <w:rPr>
                <w:b/>
                <w:sz w:val="20"/>
              </w:rPr>
            </w:pPr>
            <w:r>
              <w:rPr>
                <w:b/>
                <w:sz w:val="20"/>
                <w:u w:val="thick"/>
              </w:rPr>
              <w:t>Nominee</w:t>
            </w:r>
          </w:p>
          <w:p>
            <w:pPr>
              <w:pStyle w:val="TableParagraph"/>
              <w:spacing w:line="233" w:lineRule="exact"/>
              <w:rPr>
                <w:sz w:val="20"/>
              </w:rPr>
            </w:pPr>
            <w:r>
              <w:rPr>
                <w:sz w:val="20"/>
              </w:rPr>
              <w:t>DUNNE, Nicoll</w:t>
            </w:r>
          </w:p>
        </w:tc>
        <w:tc>
          <w:tcPr>
            <w:tcW w:w="2847" w:type="dxa"/>
            <w:tcBorders>
              <w:bottom w:val="nil"/>
            </w:tcBorders>
          </w:tcPr>
          <w:p>
            <w:pPr>
              <w:pStyle w:val="TableParagraph"/>
              <w:spacing w:line="227" w:lineRule="exact"/>
              <w:rPr>
                <w:b/>
                <w:sz w:val="20"/>
              </w:rPr>
            </w:pPr>
            <w:r>
              <w:rPr>
                <w:b/>
                <w:sz w:val="20"/>
                <w:u w:val="thick"/>
              </w:rPr>
              <w:t>INDIVIDUALS</w:t>
            </w:r>
          </w:p>
          <w:p>
            <w:pPr>
              <w:pStyle w:val="TableParagraph"/>
              <w:spacing w:line="235" w:lineRule="auto" w:before="2"/>
              <w:ind w:right="520"/>
              <w:rPr>
                <w:sz w:val="20"/>
              </w:rPr>
            </w:pPr>
            <w:r>
              <w:rPr>
                <w:sz w:val="20"/>
              </w:rPr>
              <w:t>DOKALYUK, Milena GARNETT, Cheryl-Lee TRIPODI, Carmelo Ross TAYLOR, Ricky James ASPINALL, Sam</w:t>
            </w:r>
          </w:p>
          <w:p>
            <w:pPr>
              <w:pStyle w:val="TableParagraph"/>
              <w:spacing w:line="235" w:lineRule="auto"/>
              <w:ind w:right="642"/>
              <w:rPr>
                <w:sz w:val="20"/>
              </w:rPr>
            </w:pPr>
            <w:r>
              <w:rPr>
                <w:sz w:val="20"/>
              </w:rPr>
              <w:t>QUINSEE, Liam Daniel SHIPONI, Boaz</w:t>
            </w:r>
          </w:p>
          <w:p>
            <w:pPr>
              <w:pStyle w:val="TableParagraph"/>
              <w:spacing w:line="229" w:lineRule="exact"/>
              <w:rPr>
                <w:sz w:val="20"/>
              </w:rPr>
            </w:pPr>
            <w:r>
              <w:rPr>
                <w:sz w:val="20"/>
              </w:rPr>
              <w:t>ABOU EL-KHEIR, Ahmed</w:t>
            </w:r>
          </w:p>
          <w:p>
            <w:pPr>
              <w:pStyle w:val="TableParagraph"/>
              <w:spacing w:line="233" w:lineRule="exact"/>
              <w:rPr>
                <w:sz w:val="20"/>
              </w:rPr>
            </w:pPr>
            <w:r>
              <w:rPr>
                <w:sz w:val="20"/>
              </w:rPr>
              <w:t>Tarek</w:t>
            </w:r>
          </w:p>
        </w:tc>
      </w:tr>
      <w:tr>
        <w:trPr>
          <w:trHeight w:val="559" w:hRule="atLeast"/>
        </w:trPr>
        <w:tc>
          <w:tcPr>
            <w:tcW w:w="3060" w:type="dxa"/>
            <w:tcBorders>
              <w:top w:val="nil"/>
            </w:tcBorders>
          </w:tcPr>
          <w:p>
            <w:pPr>
              <w:pStyle w:val="TableParagraph"/>
              <w:spacing w:line="235" w:lineRule="exact" w:before="91"/>
              <w:rPr>
                <w:b/>
                <w:sz w:val="20"/>
              </w:rPr>
            </w:pPr>
            <w:r>
              <w:rPr>
                <w:b/>
                <w:sz w:val="20"/>
                <w:u w:val="thick"/>
              </w:rPr>
              <w:t>Nominee</w:t>
            </w:r>
          </w:p>
          <w:p>
            <w:pPr>
              <w:pStyle w:val="TableParagraph"/>
              <w:spacing w:line="212" w:lineRule="exact"/>
              <w:rPr>
                <w:sz w:val="20"/>
              </w:rPr>
            </w:pPr>
            <w:r>
              <w:rPr>
                <w:sz w:val="20"/>
              </w:rPr>
              <w:t>MERCER, Scott Richard</w:t>
            </w:r>
          </w:p>
        </w:tc>
        <w:tc>
          <w:tcPr>
            <w:tcW w:w="2705" w:type="dxa"/>
            <w:tcBorders>
              <w:top w:val="nil"/>
            </w:tcBorders>
          </w:tcPr>
          <w:p>
            <w:pPr>
              <w:pStyle w:val="TableParagraph"/>
              <w:ind w:left="0"/>
              <w:rPr>
                <w:rFonts w:ascii="Times New Roman"/>
                <w:sz w:val="20"/>
              </w:rPr>
            </w:pPr>
          </w:p>
        </w:tc>
        <w:tc>
          <w:tcPr>
            <w:tcW w:w="2847" w:type="dxa"/>
            <w:tcBorders>
              <w:top w:val="nil"/>
            </w:tcBorders>
          </w:tcPr>
          <w:p>
            <w:pPr>
              <w:pStyle w:val="TableParagraph"/>
              <w:ind w:left="0"/>
              <w:rPr>
                <w:rFonts w:ascii="Times New Roman"/>
                <w:sz w:val="20"/>
              </w:rPr>
            </w:pPr>
          </w:p>
        </w:tc>
      </w:tr>
    </w:tbl>
    <w:p>
      <w:pPr>
        <w:pStyle w:val="BodyText"/>
        <w:spacing w:line="235" w:lineRule="auto"/>
        <w:ind w:right="1525"/>
      </w:pPr>
      <w:r>
        <w:rPr/>
        <w:t>Any persons wishing to make written representation in respect of these applications should address the correspondence by 9 August 2010 to:</w:t>
      </w:r>
    </w:p>
    <w:p>
      <w:pPr>
        <w:pStyle w:val="BodyText"/>
        <w:spacing w:before="10"/>
        <w:ind w:left="0"/>
        <w:rPr>
          <w:sz w:val="13"/>
        </w:rPr>
      </w:pPr>
    </w:p>
    <w:p>
      <w:pPr>
        <w:spacing w:after="0"/>
        <w:rPr>
          <w:sz w:val="13"/>
        </w:rPr>
        <w:sectPr>
          <w:type w:val="continuous"/>
          <w:pgSz w:w="11900" w:h="16840"/>
          <w:pgMar w:top="1140" w:bottom="280" w:left="180" w:right="160"/>
        </w:sectPr>
      </w:pPr>
    </w:p>
    <w:p>
      <w:pPr>
        <w:pStyle w:val="BodyText"/>
        <w:spacing w:line="233" w:lineRule="exact" w:before="64"/>
      </w:pPr>
      <w:r>
        <w:rPr/>
        <w:t>Broker Licensing</w:t>
      </w:r>
    </w:p>
    <w:p>
      <w:pPr>
        <w:pStyle w:val="BodyText"/>
        <w:spacing w:line="235" w:lineRule="auto" w:before="1"/>
        <w:ind w:right="-7"/>
      </w:pPr>
      <w:r>
        <w:rPr/>
        <w:t>Australian Customs and</w:t>
      </w:r>
      <w:r>
        <w:rPr>
          <w:spacing w:val="-14"/>
        </w:rPr>
        <w:t> </w:t>
      </w:r>
      <w:r>
        <w:rPr/>
        <w:t>Border Protection Service</w:t>
      </w:r>
    </w:p>
    <w:p>
      <w:pPr>
        <w:pStyle w:val="BodyText"/>
        <w:spacing w:line="227" w:lineRule="exact"/>
      </w:pPr>
      <w:r>
        <w:rPr/>
        <w:t>5 Constitution Avenue</w:t>
      </w:r>
    </w:p>
    <w:p>
      <w:pPr>
        <w:pStyle w:val="BodyText"/>
        <w:spacing w:line="233" w:lineRule="exact"/>
      </w:pPr>
      <w:r>
        <w:rPr/>
        <w:t>CANBERRA ACT 2601</w:t>
      </w:r>
    </w:p>
    <w:p>
      <w:pPr>
        <w:pStyle w:val="BodyText"/>
        <w:ind w:left="0"/>
      </w:pPr>
      <w:r>
        <w:rPr/>
        <w:br w:type="column"/>
      </w:r>
      <w:r>
        <w:rPr/>
      </w:r>
    </w:p>
    <w:p>
      <w:pPr>
        <w:pStyle w:val="BodyText"/>
        <w:spacing w:before="172"/>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300" w:space="60"/>
            <w:col w:w="7200"/>
          </w:cols>
        </w:sectPr>
      </w:pPr>
    </w:p>
    <w:p>
      <w:pPr>
        <w:pStyle w:val="BodyText"/>
        <w:spacing w:before="9"/>
        <w:ind w:left="0"/>
        <w:rPr>
          <w:sz w:val="13"/>
        </w:rPr>
      </w:pPr>
    </w:p>
    <w:p>
      <w:pPr>
        <w:pStyle w:val="BodyText"/>
        <w:spacing w:line="235" w:lineRule="auto" w:before="68"/>
        <w:ind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8"/>
        <w:ind w:right="1558"/>
      </w:pPr>
      <w:r>
        <w:rPr/>
        <w:t>Applicants will not be provided with a copy of the communication and details of its author unless Customs is authorised by the author to fully disclose the representation.</w:t>
      </w:r>
    </w:p>
    <w:p>
      <w:pPr>
        <w:pStyle w:val="BodyText"/>
        <w:ind w:left="0"/>
      </w:pPr>
    </w:p>
    <w:p>
      <w:pPr>
        <w:pStyle w:val="BodyText"/>
        <w:ind w:left="0"/>
      </w:pPr>
    </w:p>
    <w:p>
      <w:pPr>
        <w:pStyle w:val="BodyText"/>
        <w:spacing w:before="7"/>
        <w:ind w:left="0"/>
        <w:rPr>
          <w:sz w:val="18"/>
        </w:rPr>
      </w:pPr>
    </w:p>
    <w:p>
      <w:pPr>
        <w:pStyle w:val="BodyText"/>
        <w:spacing w:line="235" w:lineRule="auto"/>
        <w:ind w:right="8863"/>
      </w:pPr>
      <w:r>
        <w:rPr/>
        <w:t>Kim Marshall Director</w:t>
      </w:r>
    </w:p>
    <w:p>
      <w:pPr>
        <w:pStyle w:val="BodyText"/>
        <w:spacing w:line="235" w:lineRule="auto"/>
        <w:ind w:right="7273"/>
      </w:pPr>
      <w:r>
        <w:rPr/>
        <w:t>Compliance Assurance Branch for</w:t>
      </w:r>
    </w:p>
    <w:p>
      <w:pPr>
        <w:pStyle w:val="BodyText"/>
        <w:spacing w:line="355" w:lineRule="auto"/>
        <w:ind w:right="7984"/>
      </w:pPr>
      <w:r>
        <w:rPr/>
        <w:t>Chief Executive Officer 21 July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ind w:left="1521"/>
    </w:pPr>
    <w:rPr>
      <w:rFonts w:ascii="Helvetica" w:hAnsi="Helvetica" w:eastAsia="Helvetica" w:cs="Helvetica"/>
      <w:sz w:val="20"/>
      <w:szCs w:val="20"/>
    </w:rPr>
  </w:style>
  <w:style w:styleId="Title" w:type="paragraph">
    <w:name w:val="Title"/>
    <w:basedOn w:val="Normal"/>
    <w:uiPriority w:val="1"/>
    <w:qFormat/>
    <w:pPr>
      <w:spacing w:before="48"/>
      <w:ind w:left="2704" w:right="2717"/>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c3jmn</dc:creator>
  <dc:title>Microsoft Word - ACN 2010-35.doc</dc:title>
  <dcterms:created xsi:type="dcterms:W3CDTF">2020-12-09T22:36:41Z</dcterms:created>
  <dcterms:modified xsi:type="dcterms:W3CDTF">2020-12-09T22:36:41Z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2010-07-22T00:00:00Z</vt:filetime>
  </property>
  <property fmtid="{D5CDD505-2E9C-101B-9397-08002B2CF9AE}" pid="3" name="Creator">
    <vt:lpwstr>PScript5.dll Version 5.2.2</vt:lpwstr>
  </property>
  <property fmtid="{D5CDD505-2E9C-101B-9397-08002B2CF9AE}" pid="4" name="LastSaved">
    <vt:filetime>2020-12-09T00:00:00Z</vt:filetime>
  </property>
</Properties>
</file>