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6"/>
        </w:rPr>
      </w:pPr>
    </w:p>
    <w:p>
      <w:pPr>
        <w:pStyle w:val="Title"/>
      </w:pPr>
      <w:r>
        <w:rPr/>
        <w:t>CUSTOMS AND BORDER PROTECTION NOTICE No. 2010/40</w:t>
      </w:r>
    </w:p>
    <w:p>
      <w:pPr>
        <w:pStyle w:val="BodyText"/>
        <w:spacing w:line="28" w:lineRule="exact"/>
        <w:ind w:left="1462"/>
        <w:rPr>
          <w:sz w:val="2"/>
        </w:rPr>
      </w:pPr>
      <w:r>
        <w:rPr>
          <w:position w:val="0"/>
          <w:sz w:val="2"/>
        </w:rPr>
        <w:pict>
          <v:group style="width:445.1pt;height:1.45pt;mso-position-horizontal-relative:char;mso-position-vertical-relative:line" coordorigin="0,0" coordsize="8902,29">
            <v:rect style="position:absolute;left:0;top:0;width:8902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7"/>
        <w:rPr>
          <w:b/>
          <w:sz w:val="21"/>
        </w:rPr>
      </w:pPr>
    </w:p>
    <w:p>
      <w:pPr>
        <w:spacing w:before="55"/>
        <w:ind w:left="2038" w:right="0" w:firstLine="0"/>
        <w:jc w:val="left"/>
        <w:rPr>
          <w:b/>
          <w:sz w:val="24"/>
        </w:rPr>
      </w:pPr>
      <w:r>
        <w:rPr>
          <w:b/>
          <w:sz w:val="24"/>
        </w:rPr>
        <w:t>Luxury Car Tax Threshold and Fuel Efficient Vehicle Limit - Changes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35" w:lineRule="auto"/>
        <w:ind w:left="1491" w:right="1289"/>
      </w:pPr>
      <w:r>
        <w:rPr/>
        <w:t>This notice is to advise of the recent increase in the luxury car tax (LCT) threshold and an increase in the fuel efficient vehicle limit for the 2010-11 financial year. It also clarifies how the Integrated Cargo System (ICS) calculates LCT payable on fuel efficient luxury cars with a value exceeding the fuel efficient luxury car threshold.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91"/>
      </w:pPr>
      <w:r>
        <w:rPr/>
        <w:t>The Australia Taxation Office has determined that from 1 July 2010 the following are effective:</w:t>
      </w:r>
    </w:p>
    <w:p>
      <w:pPr>
        <w:pStyle w:val="ListParagraph"/>
        <w:numPr>
          <w:ilvl w:val="0"/>
          <w:numId w:val="1"/>
        </w:numPr>
        <w:tabs>
          <w:tab w:pos="2512" w:val="left" w:leader="none"/>
          <w:tab w:pos="5811" w:val="left" w:leader="none"/>
        </w:tabs>
        <w:spacing w:line="247" w:lineRule="exact" w:before="128" w:after="0"/>
        <w:ind w:left="2511" w:right="0" w:hanging="285"/>
        <w:jc w:val="left"/>
        <w:rPr>
          <w:sz w:val="20"/>
        </w:rPr>
      </w:pPr>
      <w:r>
        <w:rPr>
          <w:sz w:val="20"/>
        </w:rPr>
        <w:t>LCT</w:t>
      </w:r>
      <w:r>
        <w:rPr>
          <w:spacing w:val="-1"/>
          <w:sz w:val="20"/>
        </w:rPr>
        <w:t> </w:t>
      </w:r>
      <w:r>
        <w:rPr>
          <w:sz w:val="20"/>
        </w:rPr>
        <w:t>Threshold</w:t>
        <w:tab/>
        <w:t>$57,466</w:t>
      </w:r>
    </w:p>
    <w:p>
      <w:pPr>
        <w:pStyle w:val="ListParagraph"/>
        <w:numPr>
          <w:ilvl w:val="0"/>
          <w:numId w:val="1"/>
        </w:numPr>
        <w:tabs>
          <w:tab w:pos="2512" w:val="left" w:leader="none"/>
          <w:tab w:pos="5811" w:val="left" w:leader="none"/>
        </w:tabs>
        <w:spacing w:line="247" w:lineRule="exact" w:before="0" w:after="0"/>
        <w:ind w:left="2511" w:right="0" w:hanging="285"/>
        <w:jc w:val="left"/>
        <w:rPr>
          <w:sz w:val="20"/>
        </w:rPr>
      </w:pPr>
      <w:r>
        <w:rPr>
          <w:sz w:val="20"/>
        </w:rPr>
        <w:t>Fuel efficient</w:t>
      </w:r>
      <w:r>
        <w:rPr>
          <w:spacing w:val="-4"/>
          <w:sz w:val="20"/>
        </w:rPr>
        <w:t> </w:t>
      </w:r>
      <w:r>
        <w:rPr>
          <w:sz w:val="20"/>
        </w:rPr>
        <w:t>vehicle</w:t>
      </w:r>
      <w:r>
        <w:rPr>
          <w:spacing w:val="-1"/>
          <w:sz w:val="20"/>
        </w:rPr>
        <w:t> </w:t>
      </w:r>
      <w:r>
        <w:rPr>
          <w:sz w:val="20"/>
        </w:rPr>
        <w:t>limit</w:t>
        <w:tab/>
        <w:t>$75,375</w:t>
      </w:r>
    </w:p>
    <w:p>
      <w:pPr>
        <w:pStyle w:val="BodyText"/>
        <w:spacing w:line="235" w:lineRule="auto" w:before="212"/>
        <w:ind w:left="1491" w:right="1210"/>
      </w:pPr>
      <w:r>
        <w:rPr/>
        <w:t>The increased LCT threshold and fuel efficient vehicle limit advised in this notice supersede those in ACN 2009/41.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How the Luxury Car value is calculated (for LCT purposes)</w:t>
      </w:r>
    </w:p>
    <w:p>
      <w:pPr>
        <w:pStyle w:val="BodyText"/>
        <w:spacing w:line="235" w:lineRule="auto" w:before="118"/>
        <w:ind w:left="1491" w:right="1589"/>
      </w:pPr>
      <w:r>
        <w:rPr/>
        <w:t>The </w:t>
      </w:r>
      <w:r>
        <w:rPr>
          <w:i/>
        </w:rPr>
        <w:t>luxury car value </w:t>
      </w:r>
      <w:r>
        <w:rPr/>
        <w:t>(also known as luxury car tax value) is determined by the application of the formula below;</w:t>
      </w:r>
    </w:p>
    <w:p>
      <w:pPr>
        <w:pStyle w:val="BodyText"/>
        <w:spacing w:line="232" w:lineRule="exact" w:before="114"/>
        <w:ind w:left="1944"/>
      </w:pPr>
      <w:r>
        <w:rPr>
          <w:i/>
        </w:rPr>
        <w:t>Luxury car value </w:t>
      </w:r>
      <w:r>
        <w:rPr/>
        <w:t>= Value of the Taxable Importation (VoTI) + Goods and Services Tax (GST)</w:t>
      </w:r>
    </w:p>
    <w:p>
      <w:pPr>
        <w:pStyle w:val="BodyText"/>
        <w:spacing w:line="235" w:lineRule="exact"/>
        <w:ind w:left="3435"/>
      </w:pPr>
      <w:r>
        <w:rPr>
          <w:b/>
        </w:rPr>
        <w:t>= </w:t>
      </w:r>
      <w:r>
        <w:rPr/>
        <w:t>VoTI x 11/10</w:t>
      </w:r>
    </w:p>
    <w:p>
      <w:pPr>
        <w:pStyle w:val="BodyText"/>
        <w:spacing w:line="233" w:lineRule="exact" w:before="116"/>
        <w:ind w:left="1774"/>
      </w:pPr>
      <w:r>
        <w:rPr/>
        <w:t>Where the VoTI is the sum of:</w:t>
      </w:r>
    </w:p>
    <w:p>
      <w:pPr>
        <w:pStyle w:val="ListParagraph"/>
        <w:numPr>
          <w:ilvl w:val="0"/>
          <w:numId w:val="2"/>
        </w:numPr>
        <w:tabs>
          <w:tab w:pos="2571" w:val="left" w:leader="none"/>
          <w:tab w:pos="2572" w:val="left" w:leader="none"/>
        </w:tabs>
        <w:spacing w:line="230" w:lineRule="exact" w:before="0" w:after="0"/>
        <w:ind w:left="2571" w:right="0" w:hanging="361"/>
        <w:jc w:val="left"/>
        <w:rPr>
          <w:sz w:val="20"/>
        </w:rPr>
      </w:pPr>
      <w:r>
        <w:rPr>
          <w:sz w:val="20"/>
        </w:rPr>
        <w:t>the customs</w:t>
      </w:r>
      <w:r>
        <w:rPr>
          <w:spacing w:val="-2"/>
          <w:sz w:val="20"/>
        </w:rPr>
        <w:t> </w:t>
      </w:r>
      <w:r>
        <w:rPr>
          <w:sz w:val="20"/>
        </w:rPr>
        <w:t>value;</w:t>
      </w:r>
    </w:p>
    <w:p>
      <w:pPr>
        <w:pStyle w:val="ListParagraph"/>
        <w:numPr>
          <w:ilvl w:val="0"/>
          <w:numId w:val="2"/>
        </w:numPr>
        <w:tabs>
          <w:tab w:pos="2571" w:val="left" w:leader="none"/>
          <w:tab w:pos="2572" w:val="left" w:leader="none"/>
        </w:tabs>
        <w:spacing w:line="229" w:lineRule="exact" w:before="0" w:after="0"/>
        <w:ind w:left="2571" w:right="0" w:hanging="361"/>
        <w:jc w:val="left"/>
        <w:rPr>
          <w:sz w:val="20"/>
        </w:rPr>
      </w:pPr>
      <w:r>
        <w:rPr>
          <w:sz w:val="20"/>
        </w:rPr>
        <w:t>any duty payable;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2571" w:val="left" w:leader="none"/>
          <w:tab w:pos="2572" w:val="left" w:leader="none"/>
        </w:tabs>
        <w:spacing w:line="235" w:lineRule="auto" w:before="0" w:after="0"/>
        <w:ind w:left="2571" w:right="1884" w:hanging="360"/>
        <w:jc w:val="left"/>
        <w:rPr>
          <w:sz w:val="20"/>
        </w:rPr>
      </w:pPr>
      <w:r>
        <w:rPr>
          <w:sz w:val="20"/>
        </w:rPr>
        <w:t>the amount paid or payable to transport the vehicle to Australia and to insure</w:t>
      </w:r>
      <w:r>
        <w:rPr>
          <w:spacing w:val="-38"/>
          <w:sz w:val="20"/>
        </w:rPr>
        <w:t> </w:t>
      </w:r>
      <w:r>
        <w:rPr>
          <w:sz w:val="20"/>
        </w:rPr>
        <w:t>the vehicle for that</w:t>
      </w:r>
      <w:r>
        <w:rPr>
          <w:spacing w:val="-1"/>
          <w:sz w:val="20"/>
        </w:rPr>
        <w:t> </w:t>
      </w:r>
      <w:r>
        <w:rPr>
          <w:sz w:val="20"/>
        </w:rPr>
        <w:t>transport.</w:t>
      </w:r>
    </w:p>
    <w:p>
      <w:pPr>
        <w:pStyle w:val="BodyText"/>
        <w:spacing w:before="1"/>
        <w:rPr>
          <w:sz w:val="19"/>
        </w:rPr>
      </w:pPr>
    </w:p>
    <w:p>
      <w:pPr>
        <w:spacing w:line="234" w:lineRule="exact" w:before="0"/>
        <w:ind w:left="1774" w:right="0" w:firstLine="0"/>
        <w:jc w:val="left"/>
        <w:rPr>
          <w:i/>
          <w:sz w:val="20"/>
        </w:rPr>
      </w:pPr>
      <w:r>
        <w:rPr>
          <w:i/>
          <w:sz w:val="20"/>
        </w:rPr>
        <w:t>Example 1 – Importation of a luxury car with a customs value of $55,000</w:t>
      </w:r>
    </w:p>
    <w:p>
      <w:pPr>
        <w:pStyle w:val="ListParagraph"/>
        <w:numPr>
          <w:ilvl w:val="0"/>
          <w:numId w:val="2"/>
        </w:numPr>
        <w:tabs>
          <w:tab w:pos="2571" w:val="left" w:leader="none"/>
          <w:tab w:pos="2572" w:val="left" w:leader="none"/>
        </w:tabs>
        <w:spacing w:line="232" w:lineRule="exact" w:before="0" w:after="0"/>
        <w:ind w:left="2571" w:right="0" w:hanging="361"/>
        <w:jc w:val="left"/>
        <w:rPr>
          <w:sz w:val="20"/>
        </w:rPr>
      </w:pPr>
      <w:r>
        <w:rPr>
          <w:sz w:val="20"/>
        </w:rPr>
        <w:t>Duty payable (5%) =</w:t>
      </w:r>
      <w:r>
        <w:rPr>
          <w:spacing w:val="-2"/>
          <w:sz w:val="20"/>
        </w:rPr>
        <w:t> </w:t>
      </w:r>
      <w:r>
        <w:rPr>
          <w:sz w:val="20"/>
        </w:rPr>
        <w:t>$2,750</w:t>
      </w:r>
    </w:p>
    <w:p>
      <w:pPr>
        <w:pStyle w:val="ListParagraph"/>
        <w:numPr>
          <w:ilvl w:val="0"/>
          <w:numId w:val="2"/>
        </w:numPr>
        <w:tabs>
          <w:tab w:pos="2571" w:val="left" w:leader="none"/>
          <w:tab w:pos="2572" w:val="left" w:leader="none"/>
        </w:tabs>
        <w:spacing w:line="228" w:lineRule="exact" w:before="0" w:after="0"/>
        <w:ind w:left="2571" w:right="0" w:hanging="361"/>
        <w:jc w:val="left"/>
        <w:rPr>
          <w:sz w:val="20"/>
        </w:rPr>
      </w:pPr>
      <w:r>
        <w:rPr>
          <w:sz w:val="20"/>
        </w:rPr>
        <w:t>Transport and Insurance =</w:t>
      </w:r>
      <w:r>
        <w:rPr>
          <w:spacing w:val="-2"/>
          <w:sz w:val="20"/>
        </w:rPr>
        <w:t> </w:t>
      </w:r>
      <w:r>
        <w:rPr>
          <w:sz w:val="20"/>
        </w:rPr>
        <w:t>$1,750</w:t>
      </w:r>
    </w:p>
    <w:p>
      <w:pPr>
        <w:spacing w:line="230" w:lineRule="exact" w:before="0"/>
        <w:ind w:left="1944" w:right="0" w:firstLine="0"/>
        <w:jc w:val="left"/>
        <w:rPr>
          <w:sz w:val="20"/>
        </w:rPr>
      </w:pPr>
      <w:r>
        <w:rPr>
          <w:i/>
          <w:sz w:val="20"/>
        </w:rPr>
        <w:t>Luxury car value </w:t>
      </w:r>
      <w:r>
        <w:rPr>
          <w:sz w:val="20"/>
        </w:rPr>
        <w:t>= ($55,000 + $2,750 + $1,750) x 11/10 = $65,450</w:t>
      </w:r>
    </w:p>
    <w:p>
      <w:pPr>
        <w:pStyle w:val="BodyText"/>
        <w:rPr>
          <w:sz w:val="25"/>
        </w:rPr>
      </w:pPr>
    </w:p>
    <w:p>
      <w:pPr>
        <w:pStyle w:val="Heading1"/>
      </w:pPr>
      <w:r>
        <w:rPr/>
        <w:t>How LCT is determined for Luxury Cars and Fuel Efficient Luxury Cars</w:t>
      </w:r>
    </w:p>
    <w:p>
      <w:pPr>
        <w:pStyle w:val="BodyText"/>
        <w:spacing w:before="116"/>
        <w:ind w:left="1491"/>
      </w:pPr>
      <w:r>
        <w:rPr>
          <w:u w:val="single"/>
        </w:rPr>
        <w:t>Luxury Cars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2" w:lineRule="auto" w:before="71"/>
        <w:ind w:left="1491" w:right="1332"/>
      </w:pPr>
      <w:r>
        <w:rPr/>
        <w:t>The LCT threshold is reviewed each year. For the 2010-11 financial year, the threshold is $57,466. The LCT rate is 33 per cent for cars with a Luxury Car value over the LCT threshold.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55" w:lineRule="auto" w:before="1"/>
        <w:ind w:left="1774" w:right="2490" w:hanging="284"/>
      </w:pPr>
      <w:r>
        <w:rPr/>
        <w:t>LCT is paid on the GST exclusive amount that exceeds $57,466. (See formula below) LCT = (</w:t>
      </w:r>
      <w:r>
        <w:rPr>
          <w:i/>
        </w:rPr>
        <w:t>luxury car value </w:t>
      </w:r>
      <w:r>
        <w:rPr/>
        <w:t>– LCT threshold) x 10/11 x LCT rate</w:t>
      </w:r>
    </w:p>
    <w:p>
      <w:pPr>
        <w:spacing w:before="113"/>
        <w:ind w:left="1774" w:right="0" w:firstLine="0"/>
        <w:jc w:val="left"/>
        <w:rPr>
          <w:i/>
          <w:sz w:val="20"/>
        </w:rPr>
      </w:pPr>
      <w:r>
        <w:rPr>
          <w:i/>
          <w:sz w:val="20"/>
        </w:rPr>
        <w:t>Illustration based on Example 1:</w:t>
      </w:r>
    </w:p>
    <w:p>
      <w:pPr>
        <w:pStyle w:val="BodyText"/>
        <w:spacing w:before="77"/>
        <w:ind w:left="1774"/>
      </w:pPr>
      <w:r>
        <w:rPr/>
        <w:t>LCT = ($65,450 – $57,466) x 10/11 x 33% = $2,395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491"/>
      </w:pPr>
      <w:r>
        <w:rPr>
          <w:u w:val="single"/>
        </w:rPr>
        <w:t>Fuel Efficient Luxury Cars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5" w:lineRule="auto" w:before="69"/>
        <w:ind w:left="1491" w:right="1390"/>
      </w:pPr>
      <w:r>
        <w:rPr/>
        <w:t>LCT does not apply to fuel efficient cars below the fuel efficient luxury threshold of $75,375 for the 2010-11 financial year. However, the LCT rate of 33% remains applicable where a fuel efficient luxury car exceeds the fuel efficient luxury threshold. LCT payable for fuel efficient luxury cars is calculated in accordance with the formula below:</w:t>
      </w:r>
    </w:p>
    <w:p>
      <w:pPr>
        <w:spacing w:after="0" w:line="235" w:lineRule="auto"/>
        <w:sectPr>
          <w:type w:val="continuous"/>
          <w:pgSz w:w="11900" w:h="16840"/>
          <w:pgMar w:top="960" w:bottom="280" w:left="40" w:right="300"/>
        </w:sectPr>
      </w:pPr>
    </w:p>
    <w:p>
      <w:pPr>
        <w:spacing w:before="50"/>
        <w:ind w:left="1774" w:right="0" w:firstLine="0"/>
        <w:jc w:val="left"/>
        <w:rPr>
          <w:sz w:val="20"/>
        </w:rPr>
      </w:pPr>
      <w:r>
        <w:rPr>
          <w:sz w:val="20"/>
        </w:rPr>
        <w:t>LCT = (</w:t>
      </w:r>
      <w:r>
        <w:rPr>
          <w:i/>
          <w:sz w:val="20"/>
        </w:rPr>
        <w:t>luxury car value </w:t>
      </w:r>
      <w:r>
        <w:rPr>
          <w:sz w:val="20"/>
        </w:rPr>
        <w:t>– fuel efficient luxury threshold) x 10/11 x LCT rate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74" w:right="0" w:firstLine="0"/>
        <w:jc w:val="left"/>
        <w:rPr>
          <w:i/>
          <w:sz w:val="20"/>
        </w:rPr>
      </w:pPr>
      <w:r>
        <w:rPr>
          <w:i/>
          <w:sz w:val="20"/>
        </w:rPr>
        <w:t>Example 2 – Importation of a fuel efficient luxury car with a Luxury Car value of $94,000</w:t>
      </w:r>
    </w:p>
    <w:p>
      <w:pPr>
        <w:pStyle w:val="BodyText"/>
        <w:spacing w:before="80"/>
        <w:ind w:left="1774"/>
      </w:pPr>
      <w:r>
        <w:rPr/>
        <w:t>LCT = ($94,000 – $75,375) x 10/11 x 33% = $5,587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t>ICS Requirements for Payment of or Exemptions from LCT</w:t>
      </w:r>
    </w:p>
    <w:p>
      <w:pPr>
        <w:pStyle w:val="BodyText"/>
        <w:spacing w:before="117"/>
        <w:ind w:left="1491"/>
      </w:pPr>
      <w:r>
        <w:rPr>
          <w:u w:val="single"/>
        </w:rPr>
        <w:t>For Fuel Efficient Luxury Cars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33" w:lineRule="exact" w:before="66"/>
        <w:ind w:left="1491"/>
      </w:pPr>
      <w:r>
        <w:rPr/>
        <w:t>If LCT is to be paid in the ICS for a fuel efficient luxury car, the following applies:</w:t>
      </w:r>
    </w:p>
    <w:p>
      <w:pPr>
        <w:pStyle w:val="ListParagraph"/>
        <w:numPr>
          <w:ilvl w:val="0"/>
          <w:numId w:val="3"/>
        </w:numPr>
        <w:tabs>
          <w:tab w:pos="2211" w:val="left" w:leader="none"/>
          <w:tab w:pos="2212" w:val="left" w:leader="none"/>
        </w:tabs>
        <w:spacing w:line="235" w:lineRule="auto" w:before="1" w:after="0"/>
        <w:ind w:left="2211" w:right="1233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LCT</w:t>
      </w:r>
      <w:r>
        <w:rPr>
          <w:spacing w:val="-1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import</w:t>
      </w:r>
      <w:r>
        <w:rPr>
          <w:spacing w:val="-3"/>
          <w:sz w:val="20"/>
        </w:rPr>
        <w:t> </w:t>
      </w:r>
      <w:r>
        <w:rPr>
          <w:sz w:val="20"/>
        </w:rPr>
        <w:t>declaration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greater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$75,375</w:t>
      </w:r>
      <w:r>
        <w:rPr>
          <w:spacing w:val="-2"/>
          <w:sz w:val="20"/>
        </w:rPr>
        <w:t> </w:t>
      </w:r>
      <w:r>
        <w:rPr>
          <w:sz w:val="20"/>
        </w:rPr>
        <w:t>(the</w:t>
      </w:r>
      <w:r>
        <w:rPr>
          <w:spacing w:val="-2"/>
          <w:sz w:val="20"/>
        </w:rPr>
        <w:t> </w:t>
      </w:r>
      <w:r>
        <w:rPr>
          <w:sz w:val="20"/>
        </w:rPr>
        <w:t>LCT value</w:t>
      </w:r>
      <w:r>
        <w:rPr>
          <w:spacing w:val="-2"/>
          <w:sz w:val="20"/>
        </w:rPr>
        <w:t> </w:t>
      </w:r>
      <w:r>
        <w:rPr>
          <w:sz w:val="20"/>
        </w:rPr>
        <w:t>is equal to the VoTI + GST</w:t>
      </w:r>
      <w:r>
        <w:rPr>
          <w:spacing w:val="-6"/>
          <w:sz w:val="20"/>
        </w:rPr>
        <w:t> </w:t>
      </w:r>
      <w:r>
        <w:rPr>
          <w:sz w:val="20"/>
        </w:rPr>
        <w:t>payable);</w:t>
      </w:r>
    </w:p>
    <w:p>
      <w:pPr>
        <w:pStyle w:val="ListParagraph"/>
        <w:numPr>
          <w:ilvl w:val="0"/>
          <w:numId w:val="3"/>
        </w:numPr>
        <w:tabs>
          <w:tab w:pos="2211" w:val="left" w:leader="none"/>
          <w:tab w:pos="2212" w:val="left" w:leader="none"/>
        </w:tabs>
        <w:spacing w:line="235" w:lineRule="auto" w:before="0" w:after="0"/>
        <w:ind w:left="2211" w:right="1776" w:hanging="361"/>
        <w:jc w:val="left"/>
        <w:rPr>
          <w:sz w:val="20"/>
        </w:rPr>
      </w:pPr>
      <w:r>
        <w:rPr>
          <w:sz w:val="20"/>
        </w:rPr>
        <w:t>the code ‘FEV’ must be input in the LCT exemption code field (this will ensure the fuel efficient luxury threshold of $75,375 is used to calculate</w:t>
      </w:r>
      <w:r>
        <w:rPr>
          <w:spacing w:val="-10"/>
          <w:sz w:val="20"/>
        </w:rPr>
        <w:t> </w:t>
      </w:r>
      <w:r>
        <w:rPr>
          <w:sz w:val="20"/>
        </w:rPr>
        <w:t>LCT);</w:t>
      </w:r>
    </w:p>
    <w:p>
      <w:pPr>
        <w:pStyle w:val="ListParagraph"/>
        <w:numPr>
          <w:ilvl w:val="0"/>
          <w:numId w:val="3"/>
        </w:numPr>
        <w:tabs>
          <w:tab w:pos="2211" w:val="left" w:leader="none"/>
          <w:tab w:pos="2212" w:val="left" w:leader="none"/>
        </w:tabs>
        <w:spacing w:line="229" w:lineRule="exact" w:before="0" w:after="0"/>
        <w:ind w:left="2211" w:right="0" w:hanging="361"/>
        <w:jc w:val="left"/>
        <w:rPr>
          <w:sz w:val="20"/>
        </w:rPr>
      </w:pPr>
      <w:r>
        <w:rPr>
          <w:sz w:val="20"/>
        </w:rPr>
        <w:t>the LCT payment indicator must be set to ‘Yes’;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2211" w:val="left" w:leader="none"/>
          <w:tab w:pos="2212" w:val="left" w:leader="none"/>
        </w:tabs>
        <w:spacing w:line="233" w:lineRule="exact" w:before="0" w:after="0"/>
        <w:ind w:left="2211" w:right="0" w:hanging="361"/>
        <w:jc w:val="left"/>
        <w:rPr>
          <w:sz w:val="20"/>
        </w:rPr>
      </w:pPr>
      <w:r>
        <w:rPr>
          <w:sz w:val="20"/>
        </w:rPr>
        <w:t>the unit of quantity nominated on the line must be</w:t>
      </w:r>
      <w:r>
        <w:rPr>
          <w:spacing w:val="-7"/>
          <w:sz w:val="20"/>
        </w:rPr>
        <w:t> </w:t>
      </w:r>
      <w:r>
        <w:rPr>
          <w:sz w:val="20"/>
        </w:rPr>
        <w:t>1.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5" w:lineRule="auto" w:before="1"/>
        <w:ind w:left="1491" w:right="1210"/>
      </w:pPr>
      <w:r>
        <w:rPr/>
        <w:t>If a Fuel Efficient Vehicle (with a Luxury Car value that exceeds the fuel efficient luxury threshold) is to be exempted from LCT, then the following applies:</w:t>
      </w:r>
    </w:p>
    <w:p>
      <w:pPr>
        <w:pStyle w:val="ListParagraph"/>
        <w:numPr>
          <w:ilvl w:val="0"/>
          <w:numId w:val="3"/>
        </w:numPr>
        <w:tabs>
          <w:tab w:pos="2211" w:val="left" w:leader="none"/>
          <w:tab w:pos="2212" w:val="left" w:leader="none"/>
        </w:tabs>
        <w:spacing w:line="229" w:lineRule="exact" w:before="0" w:after="0"/>
        <w:ind w:left="2211" w:right="0" w:hanging="361"/>
        <w:jc w:val="left"/>
        <w:rPr>
          <w:sz w:val="20"/>
        </w:rPr>
      </w:pPr>
      <w:r>
        <w:rPr>
          <w:sz w:val="20"/>
        </w:rPr>
        <w:t>a legitimate LCT exemption code must be applied (not the ‘FEV’ code);</w:t>
      </w:r>
      <w:r>
        <w:rPr>
          <w:spacing w:val="-1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2211" w:val="left" w:leader="none"/>
          <w:tab w:pos="2212" w:val="left" w:leader="none"/>
        </w:tabs>
        <w:spacing w:line="233" w:lineRule="exact" w:before="0" w:after="0"/>
        <w:ind w:left="2211" w:right="0" w:hanging="361"/>
        <w:jc w:val="left"/>
        <w:rPr>
          <w:sz w:val="20"/>
        </w:rPr>
      </w:pPr>
      <w:r>
        <w:rPr>
          <w:sz w:val="20"/>
        </w:rPr>
        <w:t>the LCT payment indicator must be set to ‘No’.</w:t>
      </w:r>
    </w:p>
    <w:p>
      <w:pPr>
        <w:pStyle w:val="BodyText"/>
        <w:spacing w:before="3"/>
        <w:rPr>
          <w:sz w:val="19"/>
        </w:rPr>
      </w:pPr>
    </w:p>
    <w:p>
      <w:pPr>
        <w:spacing w:line="232" w:lineRule="auto" w:before="0"/>
        <w:ind w:left="1491" w:right="1211" w:hanging="1"/>
        <w:jc w:val="left"/>
        <w:rPr>
          <w:i/>
          <w:sz w:val="20"/>
        </w:rPr>
      </w:pPr>
      <w:r>
        <w:rPr>
          <w:rFonts w:ascii="Helvetica-BoldOblique" w:hAnsi="Helvetica-BoldOblique"/>
          <w:b/>
          <w:i/>
          <w:sz w:val="20"/>
        </w:rPr>
        <w:t>Note: </w:t>
      </w:r>
      <w:r>
        <w:rPr>
          <w:i/>
          <w:sz w:val="20"/>
        </w:rPr>
        <w:t>If an imported fuel efficient luxury car has a Luxury Car value between $57,466 and $75,375, only then can an importer to use ‘FEV’ code as a legitimate LCT exemption code and no LCT will be payable.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1"/>
      </w:pPr>
      <w:r>
        <w:rPr/>
        <w:t>Quoting for LCT</w:t>
      </w:r>
    </w:p>
    <w:p>
      <w:pPr>
        <w:pStyle w:val="BodyText"/>
        <w:spacing w:line="235" w:lineRule="auto" w:before="121"/>
        <w:ind w:left="1491" w:right="1410"/>
      </w:pPr>
      <w:r>
        <w:rPr/>
        <w:t>The information required for quoting for LCT has not changed. To quote for LCT for a fuel efficient luxury car, the LCT quote indicator for the import declaration line must be set to ‘Yes’.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Refunds</w:t>
      </w:r>
    </w:p>
    <w:p>
      <w:pPr>
        <w:pStyle w:val="BodyText"/>
        <w:spacing w:line="235" w:lineRule="auto" w:before="118"/>
        <w:ind w:left="1491" w:right="1355"/>
      </w:pPr>
      <w:r>
        <w:rPr/>
        <w:t>If you imported a luxury car during the period between 1 July 2010 and the date of this notice, you may have paid an incorrect amount of LCT to the Australian Customs and Border Protection Service. A very small number of importations may be affected and you may be entitled to a refund.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491" w:right="1544"/>
      </w:pPr>
      <w:r>
        <w:rPr/>
        <w:t>To obtain a refund, please amend (or have your broker amend) any affected import declaration (create a new version, using the parameters described above) and a refund will automatically be calculated and paid from the ICS as for other refunds.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491"/>
      </w:pPr>
      <w:r>
        <w:rPr/>
        <w:t>Further information on</w:t>
      </w:r>
    </w:p>
    <w:p>
      <w:pPr>
        <w:pStyle w:val="ListParagraph"/>
        <w:numPr>
          <w:ilvl w:val="0"/>
          <w:numId w:val="4"/>
        </w:numPr>
        <w:tabs>
          <w:tab w:pos="2211" w:val="left" w:leader="none"/>
          <w:tab w:pos="2212" w:val="left" w:leader="none"/>
        </w:tabs>
        <w:spacing w:line="246" w:lineRule="exact" w:before="10" w:after="0"/>
        <w:ind w:left="2211" w:right="0" w:hanging="361"/>
        <w:jc w:val="left"/>
        <w:rPr>
          <w:sz w:val="20"/>
        </w:rPr>
      </w:pPr>
      <w:r>
        <w:rPr>
          <w:sz w:val="20"/>
        </w:rPr>
        <w:t>fuel efficient cars is available from:</w:t>
      </w:r>
      <w:r>
        <w:rPr>
          <w:color w:val="0000FF"/>
          <w:spacing w:val="-8"/>
          <w:sz w:val="20"/>
        </w:rPr>
        <w:t> </w:t>
      </w:r>
      <w:hyperlink r:id="rId6">
        <w:r>
          <w:rPr>
            <w:color w:val="0000FF"/>
            <w:sz w:val="20"/>
            <w:u w:val="single" w:color="0000FF"/>
          </w:rPr>
          <w:t>www.infrastructure.gov.au</w:t>
        </w:r>
      </w:hyperlink>
    </w:p>
    <w:p>
      <w:pPr>
        <w:pStyle w:val="ListParagraph"/>
        <w:numPr>
          <w:ilvl w:val="0"/>
          <w:numId w:val="4"/>
        </w:numPr>
        <w:tabs>
          <w:tab w:pos="2211" w:val="left" w:leader="none"/>
          <w:tab w:pos="2212" w:val="left" w:leader="none"/>
        </w:tabs>
        <w:spacing w:line="244" w:lineRule="exact" w:before="0" w:after="0"/>
        <w:ind w:left="2211" w:right="0" w:hanging="361"/>
        <w:jc w:val="left"/>
        <w:rPr>
          <w:sz w:val="20"/>
        </w:rPr>
      </w:pPr>
      <w:r>
        <w:rPr>
          <w:sz w:val="20"/>
        </w:rPr>
        <w:t>quoting for LCT is available from:</w:t>
      </w:r>
      <w:r>
        <w:rPr>
          <w:color w:val="0000FF"/>
          <w:spacing w:val="1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www.ato.gov.au</w:t>
        </w:r>
      </w:hyperlink>
    </w:p>
    <w:p>
      <w:pPr>
        <w:pStyle w:val="ListParagraph"/>
        <w:numPr>
          <w:ilvl w:val="0"/>
          <w:numId w:val="4"/>
        </w:numPr>
        <w:tabs>
          <w:tab w:pos="2211" w:val="left" w:leader="none"/>
          <w:tab w:pos="2212" w:val="left" w:leader="none"/>
        </w:tabs>
        <w:spacing w:line="247" w:lineRule="exact" w:before="0" w:after="0"/>
        <w:ind w:left="2211" w:right="0" w:hanging="361"/>
        <w:jc w:val="left"/>
        <w:rPr>
          <w:sz w:val="20"/>
        </w:rPr>
      </w:pPr>
      <w:r>
        <w:rPr>
          <w:sz w:val="20"/>
        </w:rPr>
        <w:t>exemptions from LCT from</w:t>
      </w:r>
      <w:r>
        <w:rPr>
          <w:color w:val="0000FF"/>
          <w:spacing w:val="3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www.customs.gov.au</w:t>
        </w:r>
      </w:hyperlink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5" w:lineRule="auto"/>
        <w:ind w:left="1491" w:right="1311"/>
      </w:pPr>
      <w:r>
        <w:rPr/>
        <w:t>For queries concerning this CBPN, please contact the Customs Information and Support Centre on 1300 363 263.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5" w:lineRule="auto"/>
        <w:ind w:left="1491" w:right="8481"/>
      </w:pPr>
      <w:r>
        <w:rPr/>
        <w:t>Sarah Major National</w:t>
      </w:r>
      <w:r>
        <w:rPr>
          <w:spacing w:val="-11"/>
        </w:rPr>
        <w:t> </w:t>
      </w:r>
      <w:r>
        <w:rPr/>
        <w:t>Manager</w:t>
      </w:r>
    </w:p>
    <w:p>
      <w:pPr>
        <w:pStyle w:val="BodyText"/>
        <w:spacing w:line="232" w:lineRule="auto" w:before="2"/>
        <w:ind w:left="1491" w:right="7536"/>
      </w:pPr>
      <w:r>
        <w:rPr/>
        <w:t>Trade Policy and Regulation CANBERRA ACT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491"/>
      </w:pPr>
      <w:r>
        <w:rPr/>
        <w:t>13 September 2010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1491" w:right="0" w:firstLine="0"/>
        <w:jc w:val="left"/>
        <w:rPr>
          <w:sz w:val="16"/>
        </w:rPr>
      </w:pPr>
      <w:r>
        <w:rPr>
          <w:sz w:val="16"/>
        </w:rPr>
        <w:t>errata: 22 October 2010 – line 4 – luxury car replaced customs</w:t>
      </w:r>
    </w:p>
    <w:sectPr>
      <w:pgSz w:w="11900" w:h="16840"/>
      <w:pgMar w:top="1020" w:bottom="280" w:left="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Helvetica-BoldOblique">
    <w:altName w:val="Helvetica-BoldObliq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211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92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2211" w:hanging="360"/>
      </w:pPr>
      <w:rPr>
        <w:rFonts w:hint="default" w:ascii="Arial" w:hAnsi="Arial" w:eastAsia="Arial" w:cs="Arial"/>
        <w:w w:val="75"/>
        <w:sz w:val="20"/>
        <w:szCs w:val="20"/>
      </w:rPr>
    </w:lvl>
    <w:lvl w:ilvl="1">
      <w:start w:val="0"/>
      <w:numFmt w:val="bullet"/>
      <w:lvlText w:val="•"/>
      <w:lvlJc w:val="left"/>
      <w:pPr>
        <w:ind w:left="31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92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2571" w:hanging="360"/>
      </w:pPr>
      <w:rPr>
        <w:rFonts w:hint="default" w:ascii="Arial" w:hAnsi="Arial" w:eastAsia="Arial" w:cs="Arial"/>
        <w:w w:val="75"/>
        <w:sz w:val="20"/>
        <w:szCs w:val="20"/>
      </w:rPr>
    </w:lvl>
    <w:lvl w:ilvl="1">
      <w:start w:val="0"/>
      <w:numFmt w:val="bullet"/>
      <w:lvlText w:val="•"/>
      <w:lvlJc w:val="left"/>
      <w:pPr>
        <w:ind w:left="347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6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511" w:hanging="284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424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28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32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6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40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44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48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52" w:hanging="28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91"/>
      <w:outlineLvl w:val="1"/>
    </w:pPr>
    <w:rPr>
      <w:rFonts w:ascii="Helvetica" w:hAnsi="Helvetica" w:eastAsia="Helvetica" w:cs="Helvetica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870" w:right="1606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211" w:hanging="361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nfrastructure.gov.au/" TargetMode="External"/><Relationship Id="rId7" Type="http://schemas.openxmlformats.org/officeDocument/2006/relationships/hyperlink" Target="http://www.ato.gov.au/" TargetMode="External"/><Relationship Id="rId8" Type="http://schemas.openxmlformats.org/officeDocument/2006/relationships/hyperlink" Target="http://www.customs.gov.au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c8cbe</dc:creator>
  <dc:title>Microsoft Word - Australian Customs and Border Protection Notice No 2010-40 _Two word amendment_.doc</dc:title>
  <dcterms:created xsi:type="dcterms:W3CDTF">2020-12-09T22:19:30Z</dcterms:created>
  <dcterms:modified xsi:type="dcterms:W3CDTF">2020-12-09T22:19:30Z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