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Title"/>
        <w:spacing w:line="348" w:lineRule="auto"/>
      </w:pPr>
      <w:r>
        <w:rPr/>
        <w:t>AUSTRALIAN CUSTOMS NOTICE NO. 2010/54 ADDITIONAL SUBTANCES ADDED TO SCHEDULE 4 TO THE</w:t>
      </w:r>
    </w:p>
    <w:p>
      <w:pPr>
        <w:spacing w:line="331" w:lineRule="exact" w:before="0"/>
        <w:ind w:left="2131" w:right="1828" w:firstLine="0"/>
        <w:jc w:val="center"/>
        <w:rPr>
          <w:rFonts w:ascii="Helvetica-BoldOblique"/>
          <w:b/>
          <w:i/>
          <w:sz w:val="28"/>
        </w:rPr>
      </w:pPr>
      <w:r>
        <w:rPr>
          <w:rFonts w:ascii="Helvetica-BoldOblique"/>
          <w:b/>
          <w:i/>
          <w:sz w:val="28"/>
        </w:rPr>
        <w:t>CUSTOMS (PROHIBITED IMPORTS) REGULATIONS 1956</w:t>
      </w:r>
    </w:p>
    <w:p>
      <w:pPr>
        <w:pStyle w:val="BodyText"/>
        <w:spacing w:before="9"/>
        <w:ind w:left="0"/>
        <w:rPr>
          <w:rFonts w:ascii="Helvetica-BoldOblique"/>
          <w:b/>
          <w:i/>
          <w:sz w:val="35"/>
        </w:rPr>
      </w:pPr>
    </w:p>
    <w:p>
      <w:pPr>
        <w:pStyle w:val="BodyText"/>
        <w:ind w:left="1521" w:right="1493"/>
      </w:pPr>
      <w:r>
        <w:rPr/>
        <w:t>Regulation 5 of the </w:t>
      </w:r>
      <w:r>
        <w:rPr>
          <w:i/>
        </w:rPr>
        <w:t>Customs (Prohibited Imports) Regulations 1956 </w:t>
      </w:r>
      <w:r>
        <w:rPr/>
        <w:t>(the PI Regulations) controls the import of drugs that are listed in Schedule 4 to the Regulations. A valid licence and permit are required to import these substances.</w:t>
      </w:r>
    </w:p>
    <w:p>
      <w:pPr>
        <w:pStyle w:val="BodyText"/>
        <w:ind w:left="0"/>
      </w:pPr>
    </w:p>
    <w:p>
      <w:pPr>
        <w:pStyle w:val="BodyText"/>
        <w:ind w:left="1521" w:right="1587"/>
      </w:pPr>
      <w:r>
        <w:rPr/>
        <w:t>The Regulations have been amended by adding 14 substances to Schedule 4. These substances are: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30" w:lineRule="auto" w:before="27" w:after="0"/>
        <w:ind w:left="1881" w:right="1649" w:hanging="360"/>
        <w:jc w:val="left"/>
        <w:rPr>
          <w:sz w:val="24"/>
        </w:rPr>
      </w:pPr>
      <w:r>
        <w:rPr>
          <w:sz w:val="24"/>
        </w:rPr>
        <w:t>classified as controlled drugs or prohibited substances under the Standard for Uniform Scheduling of Drugs and Poisons (SUSDP), an instrument made under the Therapeutic Goods Act 1989,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32" w:lineRule="auto" w:before="29" w:after="0"/>
        <w:ind w:left="1881" w:right="1422" w:hanging="360"/>
        <w:jc w:val="left"/>
        <w:rPr>
          <w:sz w:val="24"/>
        </w:rPr>
      </w:pPr>
      <w:r>
        <w:rPr>
          <w:sz w:val="24"/>
        </w:rPr>
        <w:t>controlled under the Single Convention on Narcotic Drugs 1961 or the Convention on Psychotropic Substances 1971, and were not previously listed in Schedule 4 to the Regulations.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521"/>
      </w:pPr>
      <w:r>
        <w:rPr/>
        <w:t>The additional substances added to Schedule 4 are: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4" w:lineRule="exact" w:before="19" w:after="0"/>
        <w:ind w:left="1881" w:right="0" w:hanging="361"/>
        <w:jc w:val="left"/>
        <w:rPr>
          <w:sz w:val="24"/>
        </w:rPr>
      </w:pPr>
      <w:r>
        <w:rPr>
          <w:sz w:val="24"/>
        </w:rPr>
        <w:t>Acetylcodeine;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Acetylmorphine;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Alkoxyamphetamines;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Alkoxyphenylethylamines;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Alkylthioamphetamines;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Amineptine;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5-(2-aminopropyl)-2,3-dihydro-1H-indene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4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Benzylpiperazine;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4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1-(8-Bromobenzo[1,2-b:4,5-b]difuran-4-yl)-2-aminopropane;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Codeine-N-oxide;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Dimethylamphetamine;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Oripavine;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3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4-methylmethcathinone;</w:t>
      </w:r>
    </w:p>
    <w:p>
      <w:pPr>
        <w:pStyle w:val="ListParagraph"/>
        <w:numPr>
          <w:ilvl w:val="0"/>
          <w:numId w:val="1"/>
        </w:numPr>
        <w:tabs>
          <w:tab w:pos="1881" w:val="left" w:leader="none"/>
          <w:tab w:pos="1882" w:val="left" w:leader="none"/>
        </w:tabs>
        <w:spacing w:line="294" w:lineRule="exact" w:before="0" w:after="0"/>
        <w:ind w:left="1881" w:right="0" w:hanging="361"/>
        <w:jc w:val="left"/>
        <w:rPr>
          <w:sz w:val="24"/>
        </w:rPr>
      </w:pPr>
      <w:r>
        <w:rPr>
          <w:sz w:val="24"/>
        </w:rPr>
        <w:t>Trifluoromethylphenylpiperazine.</w:t>
      </w:r>
    </w:p>
    <w:p>
      <w:pPr>
        <w:pStyle w:val="BodyText"/>
        <w:spacing w:before="254"/>
        <w:ind w:left="1521" w:right="1941"/>
      </w:pPr>
      <w:r>
        <w:rPr/>
        <w:t>The listing of these substances in Schedule 4, means they are now part of the import control regime governed by Regulation 5 of the PI Regulations.</w:t>
      </w:r>
    </w:p>
    <w:p>
      <w:pPr>
        <w:pStyle w:val="BodyText"/>
        <w:ind w:left="0"/>
      </w:pPr>
    </w:p>
    <w:p>
      <w:pPr>
        <w:pStyle w:val="BodyText"/>
        <w:ind w:left="1521" w:right="1841"/>
      </w:pPr>
      <w:r>
        <w:rPr/>
        <w:t>The PI Regulations have also been amended by moving ketamine from Schedule 8 to Schedule 4. This movement of ketamine from Schedule 8 of the Regulations to Schedule 4 ensures that Schedule 4 aligns with the SUSDP.</w:t>
      </w:r>
    </w:p>
    <w:p>
      <w:pPr>
        <w:spacing w:after="0"/>
        <w:sectPr>
          <w:type w:val="continuous"/>
          <w:pgSz w:w="11900" w:h="16840"/>
          <w:pgMar w:top="1140" w:bottom="280" w:left="180" w:right="160"/>
        </w:sectPr>
      </w:pPr>
    </w:p>
    <w:p>
      <w:pPr>
        <w:pStyle w:val="BodyText"/>
        <w:spacing w:before="40"/>
        <w:ind w:left="1521"/>
      </w:pPr>
      <w:r>
        <w:rPr/>
        <w:t>The amending Regulations came into effect on 14 December 2010.</w:t>
      </w:r>
    </w:p>
    <w:p>
      <w:pPr>
        <w:pStyle w:val="BodyText"/>
        <w:ind w:left="0"/>
      </w:pPr>
    </w:p>
    <w:p>
      <w:pPr>
        <w:pStyle w:val="BodyText"/>
        <w:ind w:left="1521" w:right="1587"/>
      </w:pPr>
      <w:r>
        <w:rPr/>
        <w:t>The Office of Chemical Safety and Environmental Health (OCSEH) is responsible for issuing licences and permits for all Schedule 4 substances. Enquiries regarding licences and permits should be directed to OCSEH via email at </w:t>
      </w:r>
      <w:hyperlink r:id="rId6">
        <w:r>
          <w:rPr>
            <w:color w:val="0000FF"/>
            <w:u w:val="single" w:color="0000FF"/>
          </w:rPr>
          <w:t>tmu@health.gov.au</w:t>
        </w:r>
        <w:r>
          <w:rPr>
            <w:color w:val="0000FF"/>
          </w:rPr>
          <w:t> </w:t>
        </w:r>
      </w:hyperlink>
      <w:r>
        <w:rPr/>
        <w:t>or by telephone on (02) 6289 2686.</w:t>
      </w:r>
    </w:p>
    <w:p>
      <w:pPr>
        <w:pStyle w:val="BodyText"/>
        <w:ind w:left="0"/>
      </w:pPr>
    </w:p>
    <w:p>
      <w:pPr>
        <w:pStyle w:val="BodyText"/>
        <w:spacing w:before="1"/>
        <w:ind w:left="1521" w:right="1587"/>
      </w:pPr>
      <w:r>
        <w:rPr/>
        <w:t>Enquiries regarding this notice should be directed via email to </w:t>
      </w:r>
      <w:hyperlink r:id="rId7">
        <w:r>
          <w:rPr>
            <w:color w:val="0000FF"/>
          </w:rPr>
          <w:t>community.protection@customs.gov.au </w:t>
        </w:r>
      </w:hyperlink>
      <w:r>
        <w:rPr/>
        <w:t>or telephone (02) 6275 5963.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21" w:right="8039"/>
      </w:pPr>
      <w:r>
        <w:rPr/>
        <w:t>Sarah Major National</w:t>
      </w:r>
      <w:r>
        <w:rPr>
          <w:spacing w:val="2"/>
        </w:rPr>
        <w:t> </w:t>
      </w:r>
      <w:r>
        <w:rPr>
          <w:spacing w:val="-3"/>
        </w:rPr>
        <w:t>Manager</w:t>
      </w:r>
    </w:p>
    <w:p>
      <w:pPr>
        <w:pStyle w:val="BodyText"/>
        <w:ind w:left="1521" w:right="7426"/>
      </w:pPr>
      <w:r>
        <w:rPr/>
        <w:t>Trade Policy &amp; Regulation 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ind w:left="0"/>
      </w:pPr>
    </w:p>
    <w:p>
      <w:pPr>
        <w:pStyle w:val="BodyText"/>
        <w:ind w:left="1761"/>
      </w:pPr>
      <w:r>
        <w:rPr/>
        <w:t>December 2010</w:t>
      </w:r>
    </w:p>
    <w:sectPr>
      <w:pgSz w:w="11900" w:h="16840"/>
      <w:pgMar w:top="136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Helvetica-BoldOblique">
    <w:altName w:val="Helvetica-BoldObliq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81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8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2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81"/>
    </w:pPr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104"/>
      <w:ind w:left="1910" w:right="1587" w:firstLine="811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881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mu@health.gov.au" TargetMode="External"/><Relationship Id="rId7" Type="http://schemas.openxmlformats.org/officeDocument/2006/relationships/hyperlink" Target="mailto:community.protection@customs.gov.a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c8tos</dc:creator>
  <dc:title>Microsoft Word - ACN 201054 - Amendment to Schedule 4 FINAL 15 Dec 2010.doc</dc:title>
  <dcterms:created xsi:type="dcterms:W3CDTF">2020-12-09T22:19:24Z</dcterms:created>
  <dcterms:modified xsi:type="dcterms:W3CDTF">2020-12-09T22:19:24Z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