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pict>
          <v:group style="position:absolute;margin-left:14.199988pt;margin-top:56.700012pt;width:567.35pt;height:86pt;mso-position-horizontal-relative:page;mso-position-vertical-relative:page;z-index:-15929344" coordorigin="284,1134" coordsize="11347,1720">
            <v:shape style="position:absolute;left:284;top:1134;width:11347;height:1720" type="#_x0000_t75" stroked="false">
              <v:imagedata r:id="rId5" o:title=""/>
            </v:shape>
            <v:rect style="position:absolute;left:1672;top:2680;width:8561;height:15" filled="true" fillcolor="#000000" stroked="false">
              <v:fill type="solid"/>
            </v:rect>
            <w10:wrap type="none"/>
          </v:group>
        </w:pic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15"/>
        </w:rPr>
      </w:pPr>
    </w:p>
    <w:p>
      <w:pPr>
        <w:pStyle w:val="Title"/>
      </w:pPr>
      <w:r>
        <w:rPr/>
        <w:pict>
          <v:rect style="position:absolute;margin-left:83.639999pt;margin-top:37.961807pt;width:428.04pt;height:.72pt;mso-position-horizontal-relative:page;mso-position-vertical-relative:paragraph;z-index:-15728640;mso-wrap-distance-left:0;mso-wrap-distance-right:0" filled="true" fillcolor="#000000" stroked="false">
            <v:fill type="solid"/>
            <w10:wrap type="topAndBottom"/>
          </v:rect>
        </w:pict>
      </w:r>
      <w:bookmarkStart w:name="AUSTRALIAN CUSTOMS and border protection" w:id="1"/>
      <w:bookmarkEnd w:id="1"/>
      <w:r>
        <w:rPr>
          <w:b w:val="0"/>
        </w:rPr>
      </w:r>
      <w:r>
        <w:rPr/>
        <w:t>AUSTRALIAN CUSTOMS AND BORDER PROTECTION NOTICE NO. 2010/57</w:t>
      </w:r>
    </w:p>
    <w:p>
      <w:pPr>
        <w:pStyle w:val="BodyText"/>
        <w:spacing w:before="7"/>
        <w:rPr>
          <w:b/>
          <w:sz w:val="13"/>
        </w:rPr>
      </w:pPr>
    </w:p>
    <w:p>
      <w:pPr>
        <w:spacing w:before="92"/>
        <w:ind w:left="221" w:right="1083" w:firstLine="0"/>
        <w:jc w:val="left"/>
        <w:rPr>
          <w:rFonts w:ascii="Arial-BoldItalicMT"/>
          <w:b/>
          <w:i/>
          <w:sz w:val="28"/>
        </w:rPr>
      </w:pPr>
      <w:bookmarkStart w:name="Expiry of 11 TCOs due to the operation o" w:id="2"/>
      <w:bookmarkEnd w:id="2"/>
      <w:r>
        <w:rPr/>
      </w:r>
      <w:r>
        <w:rPr>
          <w:b/>
          <w:sz w:val="28"/>
        </w:rPr>
        <w:t>Expiry of 11 TCOs due to the operation of the </w:t>
      </w:r>
      <w:r>
        <w:rPr>
          <w:rFonts w:ascii="Arial-BoldItalicMT"/>
          <w:b/>
          <w:i/>
          <w:sz w:val="28"/>
        </w:rPr>
        <w:t>Legislative Instruments Act 2003</w:t>
      </w:r>
    </w:p>
    <w:p>
      <w:pPr>
        <w:pStyle w:val="BodyText"/>
        <w:spacing w:before="4"/>
        <w:rPr>
          <w:rFonts w:ascii="Arial-BoldItalicMT"/>
          <w:b/>
          <w:i/>
          <w:sz w:val="24"/>
        </w:rPr>
      </w:pPr>
    </w:p>
    <w:p>
      <w:pPr>
        <w:pStyle w:val="BodyText"/>
        <w:ind w:left="221" w:right="247"/>
      </w:pPr>
      <w:r>
        <w:rPr/>
        <w:t>Customs and Border Protection advises that 11 Tariff Concession Orders (TCOs) have expired because of the operation of the </w:t>
      </w:r>
      <w:r>
        <w:rPr>
          <w:i/>
        </w:rPr>
        <w:t>Legislative Instruments Act 2003 </w:t>
      </w:r>
      <w:r>
        <w:rPr/>
        <w:t>(the Legislative Instruments Act).</w:t>
      </w:r>
    </w:p>
    <w:p>
      <w:pPr>
        <w:pStyle w:val="BodyText"/>
        <w:spacing w:before="2"/>
      </w:pPr>
    </w:p>
    <w:p>
      <w:pPr>
        <w:pStyle w:val="BodyText"/>
        <w:ind w:left="221" w:right="144"/>
      </w:pPr>
      <w:r>
        <w:rPr/>
        <w:t>Customs and Border Protection was operating on the basis that sunsetting or expiry of legislative instruments, which includes TCOs, would not occur under the Legislative Instruments Act before 1 April 2015 (10 years and 3 months after the commencement of that Act). Customs and Border Protection recently received advice that this was not the case and a small number of TCOs are affected. The relevant expiry dates range from 1 October 2006 to 1 April 2010. The effect of a TCO expiring under the Legislative Instruments Act is equivalent to the revocation of the TCO. The relevant TCOs and expiry dates are listed below.</w:t>
      </w:r>
    </w:p>
    <w:p>
      <w:pPr>
        <w:pStyle w:val="BodyText"/>
        <w:spacing w:before="6"/>
        <w:rPr>
          <w:sz w:val="24"/>
        </w:rPr>
      </w:pPr>
    </w:p>
    <w:tbl>
      <w:tblPr>
        <w:tblW w:w="0" w:type="auto"/>
        <w:jc w:val="left"/>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2"/>
        <w:gridCol w:w="3763"/>
        <w:gridCol w:w="2685"/>
      </w:tblGrid>
      <w:tr>
        <w:trPr>
          <w:trHeight w:val="442" w:hRule="atLeast"/>
        </w:trPr>
        <w:tc>
          <w:tcPr>
            <w:tcW w:w="1872" w:type="dxa"/>
          </w:tcPr>
          <w:p>
            <w:pPr>
              <w:pStyle w:val="TableParagraph"/>
              <w:spacing w:line="227" w:lineRule="exact"/>
              <w:rPr>
                <w:b/>
                <w:sz w:val="20"/>
              </w:rPr>
            </w:pPr>
            <w:r>
              <w:rPr>
                <w:b/>
                <w:sz w:val="20"/>
              </w:rPr>
              <w:t>TCO number*</w:t>
            </w:r>
          </w:p>
        </w:tc>
        <w:tc>
          <w:tcPr>
            <w:tcW w:w="3763" w:type="dxa"/>
            <w:tcBorders>
              <w:bottom w:val="thinThickMediumGap" w:sz="6" w:space="0" w:color="000000"/>
            </w:tcBorders>
          </w:tcPr>
          <w:p>
            <w:pPr>
              <w:pStyle w:val="TableParagraph"/>
              <w:spacing w:line="227" w:lineRule="exact"/>
              <w:rPr>
                <w:b/>
                <w:sz w:val="20"/>
              </w:rPr>
            </w:pPr>
            <w:r>
              <w:rPr>
                <w:b/>
                <w:sz w:val="20"/>
              </w:rPr>
              <w:t>Summary of wording</w:t>
            </w:r>
          </w:p>
          <w:p>
            <w:pPr>
              <w:pStyle w:val="TableParagraph"/>
              <w:spacing w:line="195" w:lineRule="exact"/>
              <w:rPr>
                <w:b/>
                <w:sz w:val="20"/>
              </w:rPr>
            </w:pPr>
            <w:r>
              <w:rPr>
                <w:b/>
                <w:sz w:val="20"/>
              </w:rPr>
              <w:t>(full description at Attachment A)</w:t>
            </w:r>
          </w:p>
        </w:tc>
        <w:tc>
          <w:tcPr>
            <w:tcW w:w="2685" w:type="dxa"/>
          </w:tcPr>
          <w:p>
            <w:pPr>
              <w:pStyle w:val="TableParagraph"/>
              <w:spacing w:line="227" w:lineRule="exact"/>
              <w:ind w:left="105"/>
              <w:rPr>
                <w:b/>
                <w:sz w:val="20"/>
              </w:rPr>
            </w:pPr>
            <w:r>
              <w:rPr>
                <w:b/>
                <w:sz w:val="20"/>
              </w:rPr>
              <w:t>Date expired</w:t>
            </w:r>
          </w:p>
        </w:tc>
      </w:tr>
      <w:tr>
        <w:trPr>
          <w:trHeight w:val="236" w:hRule="atLeast"/>
        </w:trPr>
        <w:tc>
          <w:tcPr>
            <w:tcW w:w="1872" w:type="dxa"/>
          </w:tcPr>
          <w:p>
            <w:pPr>
              <w:pStyle w:val="TableParagraph"/>
              <w:spacing w:line="212" w:lineRule="exact"/>
              <w:rPr>
                <w:sz w:val="20"/>
              </w:rPr>
            </w:pPr>
            <w:r>
              <w:rPr>
                <w:sz w:val="20"/>
              </w:rPr>
              <w:t>0710336</w:t>
            </w:r>
          </w:p>
        </w:tc>
        <w:tc>
          <w:tcPr>
            <w:tcW w:w="3763" w:type="dxa"/>
            <w:tcBorders>
              <w:top w:val="thickThinMediumGap" w:sz="6" w:space="0" w:color="000000"/>
            </w:tcBorders>
          </w:tcPr>
          <w:p>
            <w:pPr>
              <w:pStyle w:val="TableParagraph"/>
              <w:spacing w:line="212" w:lineRule="exact"/>
              <w:rPr>
                <w:sz w:val="20"/>
              </w:rPr>
            </w:pPr>
            <w:r>
              <w:rPr>
                <w:sz w:val="20"/>
              </w:rPr>
              <w:t>Ferrules</w:t>
            </w:r>
          </w:p>
        </w:tc>
        <w:tc>
          <w:tcPr>
            <w:tcW w:w="2685" w:type="dxa"/>
          </w:tcPr>
          <w:p>
            <w:pPr>
              <w:pStyle w:val="TableParagraph"/>
              <w:spacing w:line="212" w:lineRule="exact"/>
              <w:ind w:left="105"/>
              <w:rPr>
                <w:sz w:val="20"/>
              </w:rPr>
            </w:pPr>
            <w:r>
              <w:rPr>
                <w:sz w:val="20"/>
              </w:rPr>
              <w:t>01/10/2006</w:t>
            </w:r>
          </w:p>
        </w:tc>
      </w:tr>
      <w:tr>
        <w:trPr>
          <w:trHeight w:val="251" w:hRule="atLeast"/>
        </w:trPr>
        <w:tc>
          <w:tcPr>
            <w:tcW w:w="1872" w:type="dxa"/>
          </w:tcPr>
          <w:p>
            <w:pPr>
              <w:pStyle w:val="TableParagraph"/>
              <w:rPr>
                <w:sz w:val="20"/>
              </w:rPr>
            </w:pPr>
            <w:r>
              <w:rPr>
                <w:sz w:val="20"/>
              </w:rPr>
              <w:t>0803658</w:t>
            </w:r>
          </w:p>
        </w:tc>
        <w:tc>
          <w:tcPr>
            <w:tcW w:w="3763" w:type="dxa"/>
          </w:tcPr>
          <w:p>
            <w:pPr>
              <w:pStyle w:val="TableParagraph"/>
              <w:rPr>
                <w:sz w:val="20"/>
              </w:rPr>
            </w:pPr>
            <w:r>
              <w:rPr>
                <w:sz w:val="20"/>
              </w:rPr>
              <w:t>Polyvinyl</w:t>
            </w:r>
          </w:p>
        </w:tc>
        <w:tc>
          <w:tcPr>
            <w:tcW w:w="2685" w:type="dxa"/>
          </w:tcPr>
          <w:p>
            <w:pPr>
              <w:pStyle w:val="TableParagraph"/>
              <w:ind w:left="105"/>
              <w:rPr>
                <w:sz w:val="20"/>
              </w:rPr>
            </w:pPr>
            <w:r>
              <w:rPr>
                <w:sz w:val="20"/>
              </w:rPr>
              <w:t>01/10/2006</w:t>
            </w:r>
          </w:p>
        </w:tc>
      </w:tr>
      <w:tr>
        <w:trPr>
          <w:trHeight w:val="253" w:hRule="atLeast"/>
        </w:trPr>
        <w:tc>
          <w:tcPr>
            <w:tcW w:w="1872" w:type="dxa"/>
          </w:tcPr>
          <w:p>
            <w:pPr>
              <w:pStyle w:val="TableParagraph"/>
              <w:rPr>
                <w:sz w:val="20"/>
              </w:rPr>
            </w:pPr>
            <w:r>
              <w:rPr>
                <w:sz w:val="20"/>
              </w:rPr>
              <w:t>0803659</w:t>
            </w:r>
          </w:p>
        </w:tc>
        <w:tc>
          <w:tcPr>
            <w:tcW w:w="3763" w:type="dxa"/>
          </w:tcPr>
          <w:p>
            <w:pPr>
              <w:pStyle w:val="TableParagraph"/>
              <w:rPr>
                <w:sz w:val="20"/>
              </w:rPr>
            </w:pPr>
            <w:r>
              <w:rPr>
                <w:sz w:val="20"/>
              </w:rPr>
              <w:t>Polyvinyl</w:t>
            </w:r>
          </w:p>
        </w:tc>
        <w:tc>
          <w:tcPr>
            <w:tcW w:w="2685" w:type="dxa"/>
          </w:tcPr>
          <w:p>
            <w:pPr>
              <w:pStyle w:val="TableParagraph"/>
              <w:ind w:left="105"/>
              <w:rPr>
                <w:sz w:val="20"/>
              </w:rPr>
            </w:pPr>
            <w:r>
              <w:rPr>
                <w:sz w:val="20"/>
              </w:rPr>
              <w:t>01/10/2006</w:t>
            </w:r>
          </w:p>
        </w:tc>
      </w:tr>
      <w:tr>
        <w:trPr>
          <w:trHeight w:val="251" w:hRule="atLeast"/>
        </w:trPr>
        <w:tc>
          <w:tcPr>
            <w:tcW w:w="1872" w:type="dxa"/>
          </w:tcPr>
          <w:p>
            <w:pPr>
              <w:pStyle w:val="TableParagraph"/>
              <w:rPr>
                <w:sz w:val="20"/>
              </w:rPr>
            </w:pPr>
            <w:r>
              <w:rPr>
                <w:sz w:val="20"/>
              </w:rPr>
              <w:t>0803660</w:t>
            </w:r>
          </w:p>
        </w:tc>
        <w:tc>
          <w:tcPr>
            <w:tcW w:w="3763" w:type="dxa"/>
          </w:tcPr>
          <w:p>
            <w:pPr>
              <w:pStyle w:val="TableParagraph"/>
              <w:rPr>
                <w:sz w:val="20"/>
              </w:rPr>
            </w:pPr>
            <w:r>
              <w:rPr>
                <w:sz w:val="20"/>
              </w:rPr>
              <w:t>Polyvinyl</w:t>
            </w:r>
          </w:p>
        </w:tc>
        <w:tc>
          <w:tcPr>
            <w:tcW w:w="2685" w:type="dxa"/>
          </w:tcPr>
          <w:p>
            <w:pPr>
              <w:pStyle w:val="TableParagraph"/>
              <w:ind w:left="105"/>
              <w:rPr>
                <w:sz w:val="20"/>
              </w:rPr>
            </w:pPr>
            <w:r>
              <w:rPr>
                <w:sz w:val="20"/>
              </w:rPr>
              <w:t>01/10/2006</w:t>
            </w:r>
          </w:p>
        </w:tc>
      </w:tr>
      <w:tr>
        <w:trPr>
          <w:trHeight w:val="253" w:hRule="atLeast"/>
        </w:trPr>
        <w:tc>
          <w:tcPr>
            <w:tcW w:w="1872" w:type="dxa"/>
          </w:tcPr>
          <w:p>
            <w:pPr>
              <w:pStyle w:val="TableParagraph"/>
              <w:rPr>
                <w:sz w:val="20"/>
              </w:rPr>
            </w:pPr>
            <w:r>
              <w:rPr>
                <w:sz w:val="20"/>
              </w:rPr>
              <w:t>0803661</w:t>
            </w:r>
          </w:p>
        </w:tc>
        <w:tc>
          <w:tcPr>
            <w:tcW w:w="3763" w:type="dxa"/>
          </w:tcPr>
          <w:p>
            <w:pPr>
              <w:pStyle w:val="TableParagraph"/>
              <w:rPr>
                <w:sz w:val="20"/>
              </w:rPr>
            </w:pPr>
            <w:r>
              <w:rPr>
                <w:sz w:val="20"/>
              </w:rPr>
              <w:t>Polyvinyl</w:t>
            </w:r>
          </w:p>
        </w:tc>
        <w:tc>
          <w:tcPr>
            <w:tcW w:w="2685" w:type="dxa"/>
          </w:tcPr>
          <w:p>
            <w:pPr>
              <w:pStyle w:val="TableParagraph"/>
              <w:ind w:left="105"/>
              <w:rPr>
                <w:sz w:val="20"/>
              </w:rPr>
            </w:pPr>
            <w:r>
              <w:rPr>
                <w:sz w:val="20"/>
              </w:rPr>
              <w:t>01/10/2006</w:t>
            </w:r>
          </w:p>
        </w:tc>
      </w:tr>
      <w:tr>
        <w:trPr>
          <w:trHeight w:val="251" w:hRule="atLeast"/>
        </w:trPr>
        <w:tc>
          <w:tcPr>
            <w:tcW w:w="1872" w:type="dxa"/>
          </w:tcPr>
          <w:p>
            <w:pPr>
              <w:pStyle w:val="TableParagraph"/>
              <w:rPr>
                <w:sz w:val="20"/>
              </w:rPr>
            </w:pPr>
            <w:r>
              <w:rPr>
                <w:sz w:val="20"/>
              </w:rPr>
              <w:t>0704890</w:t>
            </w:r>
          </w:p>
        </w:tc>
        <w:tc>
          <w:tcPr>
            <w:tcW w:w="3763" w:type="dxa"/>
          </w:tcPr>
          <w:p>
            <w:pPr>
              <w:pStyle w:val="TableParagraph"/>
              <w:rPr>
                <w:sz w:val="20"/>
              </w:rPr>
            </w:pPr>
            <w:r>
              <w:rPr>
                <w:sz w:val="20"/>
              </w:rPr>
              <w:t>Poultry plucking fingers</w:t>
            </w:r>
          </w:p>
        </w:tc>
        <w:tc>
          <w:tcPr>
            <w:tcW w:w="2685" w:type="dxa"/>
          </w:tcPr>
          <w:p>
            <w:pPr>
              <w:pStyle w:val="TableParagraph"/>
              <w:ind w:left="105"/>
              <w:rPr>
                <w:sz w:val="20"/>
              </w:rPr>
            </w:pPr>
            <w:r>
              <w:rPr>
                <w:sz w:val="20"/>
              </w:rPr>
              <w:t>01/04/2007</w:t>
            </w:r>
          </w:p>
        </w:tc>
      </w:tr>
      <w:tr>
        <w:trPr>
          <w:trHeight w:val="253" w:hRule="atLeast"/>
        </w:trPr>
        <w:tc>
          <w:tcPr>
            <w:tcW w:w="1872" w:type="dxa"/>
          </w:tcPr>
          <w:p>
            <w:pPr>
              <w:pStyle w:val="TableParagraph"/>
              <w:rPr>
                <w:sz w:val="20"/>
              </w:rPr>
            </w:pPr>
            <w:r>
              <w:rPr>
                <w:sz w:val="20"/>
              </w:rPr>
              <w:t>0711125</w:t>
            </w:r>
          </w:p>
        </w:tc>
        <w:tc>
          <w:tcPr>
            <w:tcW w:w="3763" w:type="dxa"/>
          </w:tcPr>
          <w:p>
            <w:pPr>
              <w:pStyle w:val="TableParagraph"/>
              <w:rPr>
                <w:sz w:val="20"/>
              </w:rPr>
            </w:pPr>
            <w:r>
              <w:rPr>
                <w:sz w:val="20"/>
              </w:rPr>
              <w:t>Machinery parts</w:t>
            </w:r>
          </w:p>
        </w:tc>
        <w:tc>
          <w:tcPr>
            <w:tcW w:w="2685" w:type="dxa"/>
          </w:tcPr>
          <w:p>
            <w:pPr>
              <w:pStyle w:val="TableParagraph"/>
              <w:ind w:left="105"/>
              <w:rPr>
                <w:sz w:val="20"/>
              </w:rPr>
            </w:pPr>
            <w:r>
              <w:rPr>
                <w:sz w:val="20"/>
              </w:rPr>
              <w:t>01/04/2007</w:t>
            </w:r>
          </w:p>
        </w:tc>
      </w:tr>
      <w:tr>
        <w:trPr>
          <w:trHeight w:val="254" w:hRule="atLeast"/>
        </w:trPr>
        <w:tc>
          <w:tcPr>
            <w:tcW w:w="1872" w:type="dxa"/>
          </w:tcPr>
          <w:p>
            <w:pPr>
              <w:pStyle w:val="TableParagraph"/>
              <w:rPr>
                <w:sz w:val="20"/>
              </w:rPr>
            </w:pPr>
            <w:r>
              <w:rPr>
                <w:sz w:val="20"/>
              </w:rPr>
              <w:t>0613442</w:t>
            </w:r>
          </w:p>
        </w:tc>
        <w:tc>
          <w:tcPr>
            <w:tcW w:w="3763" w:type="dxa"/>
          </w:tcPr>
          <w:p>
            <w:pPr>
              <w:pStyle w:val="TableParagraph"/>
              <w:rPr>
                <w:sz w:val="20"/>
              </w:rPr>
            </w:pPr>
            <w:r>
              <w:rPr>
                <w:sz w:val="20"/>
              </w:rPr>
              <w:t>Welding guns</w:t>
            </w:r>
          </w:p>
        </w:tc>
        <w:tc>
          <w:tcPr>
            <w:tcW w:w="2685" w:type="dxa"/>
          </w:tcPr>
          <w:p>
            <w:pPr>
              <w:pStyle w:val="TableParagraph"/>
              <w:ind w:left="105"/>
              <w:rPr>
                <w:sz w:val="20"/>
              </w:rPr>
            </w:pPr>
            <w:r>
              <w:rPr>
                <w:sz w:val="20"/>
              </w:rPr>
              <w:t>01/04/2008</w:t>
            </w:r>
          </w:p>
        </w:tc>
      </w:tr>
      <w:tr>
        <w:trPr>
          <w:trHeight w:val="251" w:hRule="atLeast"/>
        </w:trPr>
        <w:tc>
          <w:tcPr>
            <w:tcW w:w="1872" w:type="dxa"/>
          </w:tcPr>
          <w:p>
            <w:pPr>
              <w:pStyle w:val="TableParagraph"/>
              <w:rPr>
                <w:sz w:val="20"/>
              </w:rPr>
            </w:pPr>
            <w:r>
              <w:rPr>
                <w:sz w:val="20"/>
              </w:rPr>
              <w:t>0612103</w:t>
            </w:r>
          </w:p>
        </w:tc>
        <w:tc>
          <w:tcPr>
            <w:tcW w:w="3763" w:type="dxa"/>
          </w:tcPr>
          <w:p>
            <w:pPr>
              <w:pStyle w:val="TableParagraph"/>
              <w:rPr>
                <w:sz w:val="20"/>
              </w:rPr>
            </w:pPr>
            <w:r>
              <w:rPr>
                <w:sz w:val="20"/>
              </w:rPr>
              <w:t>Cleaning jet</w:t>
            </w:r>
          </w:p>
        </w:tc>
        <w:tc>
          <w:tcPr>
            <w:tcW w:w="2685" w:type="dxa"/>
          </w:tcPr>
          <w:p>
            <w:pPr>
              <w:pStyle w:val="TableParagraph"/>
              <w:ind w:left="105"/>
              <w:rPr>
                <w:sz w:val="20"/>
              </w:rPr>
            </w:pPr>
            <w:r>
              <w:rPr>
                <w:sz w:val="20"/>
              </w:rPr>
              <w:t>01/10/2009</w:t>
            </w:r>
          </w:p>
        </w:tc>
      </w:tr>
      <w:tr>
        <w:trPr>
          <w:trHeight w:val="254" w:hRule="atLeast"/>
        </w:trPr>
        <w:tc>
          <w:tcPr>
            <w:tcW w:w="1872" w:type="dxa"/>
          </w:tcPr>
          <w:p>
            <w:pPr>
              <w:pStyle w:val="TableParagraph"/>
              <w:rPr>
                <w:sz w:val="20"/>
              </w:rPr>
            </w:pPr>
            <w:r>
              <w:rPr>
                <w:sz w:val="20"/>
              </w:rPr>
              <w:t>0706698</w:t>
            </w:r>
          </w:p>
        </w:tc>
        <w:tc>
          <w:tcPr>
            <w:tcW w:w="3763" w:type="dxa"/>
          </w:tcPr>
          <w:p>
            <w:pPr>
              <w:pStyle w:val="TableParagraph"/>
              <w:rPr>
                <w:sz w:val="20"/>
              </w:rPr>
            </w:pPr>
            <w:r>
              <w:rPr>
                <w:sz w:val="20"/>
              </w:rPr>
              <w:t>Ribbons</w:t>
            </w:r>
          </w:p>
        </w:tc>
        <w:tc>
          <w:tcPr>
            <w:tcW w:w="2685" w:type="dxa"/>
          </w:tcPr>
          <w:p>
            <w:pPr>
              <w:pStyle w:val="TableParagraph"/>
              <w:ind w:left="105"/>
              <w:rPr>
                <w:sz w:val="20"/>
              </w:rPr>
            </w:pPr>
            <w:r>
              <w:rPr>
                <w:sz w:val="20"/>
              </w:rPr>
              <w:t>01/04/2010</w:t>
            </w:r>
          </w:p>
        </w:tc>
      </w:tr>
      <w:tr>
        <w:trPr>
          <w:trHeight w:val="253" w:hRule="atLeast"/>
        </w:trPr>
        <w:tc>
          <w:tcPr>
            <w:tcW w:w="1872" w:type="dxa"/>
          </w:tcPr>
          <w:p>
            <w:pPr>
              <w:pStyle w:val="TableParagraph"/>
              <w:rPr>
                <w:sz w:val="20"/>
              </w:rPr>
            </w:pPr>
            <w:r>
              <w:rPr>
                <w:sz w:val="20"/>
              </w:rPr>
              <w:t>0712635</w:t>
            </w:r>
          </w:p>
        </w:tc>
        <w:tc>
          <w:tcPr>
            <w:tcW w:w="3763" w:type="dxa"/>
          </w:tcPr>
          <w:p>
            <w:pPr>
              <w:pStyle w:val="TableParagraph"/>
              <w:rPr>
                <w:sz w:val="20"/>
              </w:rPr>
            </w:pPr>
            <w:r>
              <w:rPr>
                <w:sz w:val="20"/>
              </w:rPr>
              <w:t>Speaker sets</w:t>
            </w:r>
          </w:p>
        </w:tc>
        <w:tc>
          <w:tcPr>
            <w:tcW w:w="2685" w:type="dxa"/>
          </w:tcPr>
          <w:p>
            <w:pPr>
              <w:pStyle w:val="TableParagraph"/>
              <w:ind w:left="105"/>
              <w:rPr>
                <w:sz w:val="20"/>
              </w:rPr>
            </w:pPr>
            <w:r>
              <w:rPr>
                <w:sz w:val="20"/>
              </w:rPr>
              <w:t>01/04/2010</w:t>
            </w:r>
          </w:p>
        </w:tc>
      </w:tr>
    </w:tbl>
    <w:p>
      <w:pPr>
        <w:spacing w:before="181"/>
        <w:ind w:left="941" w:right="367" w:firstLine="0"/>
        <w:jc w:val="left"/>
        <w:rPr>
          <w:sz w:val="16"/>
        </w:rPr>
      </w:pPr>
      <w:r>
        <w:rPr>
          <w:sz w:val="16"/>
        </w:rPr>
        <w:t>*Unless expressly stated otherwise, all references to the expiry of TCOs in this notice are references to the TCOs in this table and the relevant expiry dates are the dates in this table.</w:t>
      </w:r>
    </w:p>
    <w:p>
      <w:pPr>
        <w:pStyle w:val="BodyText"/>
      </w:pPr>
    </w:p>
    <w:p>
      <w:pPr>
        <w:pStyle w:val="BodyText"/>
        <w:ind w:left="221" w:right="1002"/>
      </w:pPr>
      <w:r>
        <w:rPr/>
        <w:t>You can find out more about the Legislative Instruments Act on the Attorney-General’s Department website at:</w:t>
      </w:r>
    </w:p>
    <w:p>
      <w:pPr>
        <w:pStyle w:val="BodyText"/>
        <w:spacing w:before="1"/>
      </w:pPr>
    </w:p>
    <w:p>
      <w:pPr>
        <w:pStyle w:val="BodyText"/>
        <w:spacing w:before="1"/>
        <w:ind w:left="221" w:right="218"/>
      </w:pPr>
      <w:hyperlink r:id="rId6">
        <w:r>
          <w:rPr>
            <w:color w:val="0000FF"/>
            <w:w w:val="95"/>
            <w:u w:val="single" w:color="0000FF"/>
          </w:rPr>
          <w:t>http://www.ag.gov.au/www/agd/agd.nsf/Page/Administrativelaw_BackgroundtotheLegislativeInst</w:t>
        </w:r>
      </w:hyperlink>
      <w:r>
        <w:rPr>
          <w:color w:val="0000FF"/>
          <w:w w:val="95"/>
        </w:rPr>
        <w:t> </w:t>
      </w:r>
      <w:hyperlink r:id="rId6">
        <w:r>
          <w:rPr>
            <w:color w:val="0000FF"/>
            <w:u w:val="single" w:color="0000FF"/>
          </w:rPr>
          <w:t>rumentsAct2003</w:t>
        </w:r>
      </w:hyperlink>
    </w:p>
    <w:p>
      <w:pPr>
        <w:pStyle w:val="BodyText"/>
        <w:spacing w:before="9"/>
        <w:rPr>
          <w:sz w:val="11"/>
        </w:rPr>
      </w:pPr>
    </w:p>
    <w:p>
      <w:pPr>
        <w:pStyle w:val="BodyText"/>
        <w:spacing w:before="93"/>
        <w:ind w:left="221" w:right="402"/>
      </w:pPr>
      <w:r>
        <w:rPr/>
        <w:t>Customs and Border Protection is considering options for the future treatment of TCOs under the Legislative Instruments Act.</w:t>
      </w:r>
    </w:p>
    <w:p>
      <w:pPr>
        <w:pStyle w:val="BodyText"/>
        <w:spacing w:before="10"/>
        <w:rPr>
          <w:sz w:val="19"/>
        </w:rPr>
      </w:pPr>
    </w:p>
    <w:p>
      <w:pPr>
        <w:pStyle w:val="Heading1"/>
        <w:spacing w:before="1"/>
      </w:pPr>
      <w:r>
        <w:rPr/>
        <w:t>Replacement TCOs</w:t>
      </w:r>
    </w:p>
    <w:p>
      <w:pPr>
        <w:pStyle w:val="BodyText"/>
        <w:rPr>
          <w:b/>
        </w:rPr>
      </w:pPr>
    </w:p>
    <w:p>
      <w:pPr>
        <w:pStyle w:val="BodyText"/>
        <w:spacing w:before="1"/>
        <w:ind w:left="221" w:right="591"/>
      </w:pPr>
      <w:r>
        <w:rPr/>
        <w:t>On 22 December 2010, a delegate of the Customs and Border Protection Chief Executive Officer declared under section 269J of the </w:t>
      </w:r>
      <w:r>
        <w:rPr>
          <w:i/>
        </w:rPr>
        <w:t>Customs Act 1901 </w:t>
      </w:r>
      <w:r>
        <w:rPr/>
        <w:t>(Customs Act) an intention to</w:t>
      </w:r>
    </w:p>
    <w:p>
      <w:pPr>
        <w:spacing w:after="0"/>
        <w:sectPr>
          <w:type w:val="continuous"/>
          <w:pgSz w:w="11910" w:h="16840"/>
          <w:pgMar w:top="1120" w:bottom="280" w:left="1480" w:right="1560"/>
        </w:sectPr>
      </w:pPr>
    </w:p>
    <w:p>
      <w:pPr>
        <w:pStyle w:val="BodyText"/>
        <w:spacing w:before="74"/>
        <w:ind w:left="221" w:right="218"/>
      </w:pPr>
      <w:r>
        <w:rPr/>
        <w:t>make replacement TCOs for some of those TCOs that have expired already. Specifically, the delegate has declared an intention to make replacement TCOs for TCO 0710336 (Ferrules), 0704890 (Poultry plucking fingers), 0613442 (Welding guns) and 0706698 (Ribbons).</w:t>
      </w:r>
    </w:p>
    <w:p>
      <w:pPr>
        <w:pStyle w:val="BodyText"/>
        <w:spacing w:before="1"/>
      </w:pPr>
    </w:p>
    <w:p>
      <w:pPr>
        <w:pStyle w:val="BodyText"/>
        <w:spacing w:before="1"/>
        <w:ind w:left="221" w:right="235"/>
      </w:pPr>
      <w:r>
        <w:rPr/>
        <w:t>However, the delegate has decided not to declare an intention to make replacement TCOs for the other expired TCOs for the following reasons. TCOs 0803658 (Polyvinyl), 0803659 (Polyvinyl), 0803660 (Polyvinyl) and 0612103 (Cleaning jet) because industry has not used those TCOs in the last 2 years; TCO 0712635 (Speaker sets) because the delegate identified substitutable goods made in Australia; and TCO 0711125 (Machinery parts) and TCO 0803661 (Polyvinyl) because the illustrative descriptive material was insufficient to allow the delegate to properly classify all the goods.</w:t>
      </w:r>
    </w:p>
    <w:p>
      <w:pPr>
        <w:pStyle w:val="BodyText"/>
        <w:spacing w:before="10"/>
        <w:rPr>
          <w:sz w:val="19"/>
        </w:rPr>
      </w:pPr>
    </w:p>
    <w:p>
      <w:pPr>
        <w:pStyle w:val="BodyText"/>
        <w:ind w:left="221" w:right="268"/>
      </w:pPr>
      <w:r>
        <w:rPr/>
        <w:t>Once a delegate makes a declaration under section 269J, the usual process for assessing and making TCOs follows. Importantly, and provided all the relevant conditions are satisfied, the resulting TCO instrument will have effect from the day that the delegate made the declaration.</w:t>
      </w:r>
    </w:p>
    <w:p>
      <w:pPr>
        <w:pStyle w:val="BodyText"/>
      </w:pPr>
    </w:p>
    <w:p>
      <w:pPr>
        <w:spacing w:line="240" w:lineRule="auto" w:before="0"/>
        <w:ind w:left="221" w:right="635" w:firstLine="0"/>
        <w:jc w:val="left"/>
        <w:rPr>
          <w:sz w:val="20"/>
        </w:rPr>
      </w:pPr>
      <w:r>
        <w:rPr>
          <w:sz w:val="20"/>
        </w:rPr>
        <w:t>The delegate’s declarations will appear in the </w:t>
      </w:r>
      <w:r>
        <w:rPr>
          <w:i/>
          <w:sz w:val="20"/>
        </w:rPr>
        <w:t>Commonwealth of Australia Gazette: Tariff Concessions </w:t>
      </w:r>
      <w:r>
        <w:rPr>
          <w:sz w:val="20"/>
        </w:rPr>
        <w:t>on 22 December 2010, which you can find found on the Customs and Border Protection website at: </w:t>
      </w:r>
      <w:hyperlink r:id="rId7">
        <w:r>
          <w:rPr>
            <w:color w:val="0000FF"/>
            <w:sz w:val="20"/>
            <w:u w:val="single" w:color="0000FF"/>
          </w:rPr>
          <w:t>http://www.customs.gov.au/site/page4402.asp</w:t>
        </w:r>
      </w:hyperlink>
    </w:p>
    <w:p>
      <w:pPr>
        <w:pStyle w:val="BodyText"/>
        <w:rPr>
          <w:sz w:val="12"/>
        </w:rPr>
      </w:pPr>
    </w:p>
    <w:p>
      <w:pPr>
        <w:pStyle w:val="BodyText"/>
        <w:spacing w:before="92"/>
        <w:ind w:left="221" w:right="218"/>
      </w:pPr>
      <w:r>
        <w:rPr/>
        <w:t>Interested parties may lodge an objection to any of the proposed TCOs in the usual way, by using the Approved Form B444. In addition, interested parties may lodge fresh applications for any of the goods by using the Approved Form B443.</w:t>
      </w:r>
    </w:p>
    <w:p>
      <w:pPr>
        <w:pStyle w:val="BodyText"/>
        <w:spacing w:before="9"/>
        <w:rPr>
          <w:sz w:val="19"/>
        </w:rPr>
      </w:pPr>
    </w:p>
    <w:p>
      <w:pPr>
        <w:pStyle w:val="Heading1"/>
      </w:pPr>
      <w:r>
        <w:rPr/>
        <w:t>Recovery action</w:t>
      </w:r>
    </w:p>
    <w:p>
      <w:pPr>
        <w:pStyle w:val="BodyText"/>
        <w:spacing w:before="3"/>
        <w:rPr>
          <w:b/>
        </w:rPr>
      </w:pPr>
    </w:p>
    <w:p>
      <w:pPr>
        <w:pStyle w:val="BodyText"/>
        <w:spacing w:before="1"/>
        <w:ind w:left="221" w:right="213"/>
      </w:pPr>
      <w:r>
        <w:rPr/>
        <w:t>Customs and Border Protection will not seek recovery of any relevant duty foregone since the expiry of these TCOs unless there is evidence that the person who received the concession did so through inappropriate conduct such as fraud.</w:t>
      </w:r>
    </w:p>
    <w:p>
      <w:pPr>
        <w:pStyle w:val="BodyText"/>
        <w:spacing w:before="8"/>
        <w:rPr>
          <w:sz w:val="19"/>
        </w:rPr>
      </w:pPr>
    </w:p>
    <w:p>
      <w:pPr>
        <w:pStyle w:val="Heading1"/>
      </w:pPr>
      <w:r>
        <w:rPr/>
        <w:t>In-transit arrangements</w:t>
      </w:r>
    </w:p>
    <w:p>
      <w:pPr>
        <w:pStyle w:val="BodyText"/>
        <w:spacing w:before="3"/>
        <w:rPr>
          <w:b/>
        </w:rPr>
      </w:pPr>
    </w:p>
    <w:p>
      <w:pPr>
        <w:pStyle w:val="BodyText"/>
        <w:spacing w:before="1"/>
        <w:ind w:left="221" w:right="603"/>
      </w:pPr>
      <w:r>
        <w:rPr/>
        <w:t>Customs and Border Protection will administratively apply in-transit arrangements to goods covered by the expired TCOs where the relevant goods were:</w:t>
      </w:r>
    </w:p>
    <w:p>
      <w:pPr>
        <w:pStyle w:val="BodyText"/>
        <w:spacing w:before="10"/>
      </w:pPr>
    </w:p>
    <w:p>
      <w:pPr>
        <w:pStyle w:val="ListParagraph"/>
        <w:numPr>
          <w:ilvl w:val="0"/>
          <w:numId w:val="1"/>
        </w:numPr>
        <w:tabs>
          <w:tab w:pos="941" w:val="left" w:leader="none"/>
          <w:tab w:pos="942" w:val="left" w:leader="none"/>
        </w:tabs>
        <w:spacing w:line="242" w:lineRule="auto" w:before="1" w:after="0"/>
        <w:ind w:left="941" w:right="161" w:hanging="360"/>
        <w:jc w:val="left"/>
        <w:rPr>
          <w:sz w:val="20"/>
        </w:rPr>
      </w:pPr>
      <w:r>
        <w:rPr>
          <w:sz w:val="20"/>
        </w:rPr>
        <w:t>imported into Australia on or before the date of this notice (22 December 2010), and are entered for home consumption , before, on, or within 28 days after, that</w:t>
      </w:r>
      <w:r>
        <w:rPr>
          <w:spacing w:val="-16"/>
          <w:sz w:val="20"/>
        </w:rPr>
        <w:t> </w:t>
      </w:r>
      <w:r>
        <w:rPr>
          <w:sz w:val="20"/>
        </w:rPr>
        <w:t>day.</w:t>
      </w:r>
    </w:p>
    <w:p>
      <w:pPr>
        <w:pStyle w:val="BodyText"/>
        <w:spacing w:before="8"/>
      </w:pPr>
    </w:p>
    <w:p>
      <w:pPr>
        <w:pStyle w:val="ListParagraph"/>
        <w:numPr>
          <w:ilvl w:val="0"/>
          <w:numId w:val="1"/>
        </w:numPr>
        <w:tabs>
          <w:tab w:pos="941" w:val="left" w:leader="none"/>
          <w:tab w:pos="942" w:val="left" w:leader="none"/>
        </w:tabs>
        <w:spacing w:line="242" w:lineRule="auto" w:before="0" w:after="0"/>
        <w:ind w:left="941" w:right="165" w:hanging="360"/>
        <w:jc w:val="left"/>
        <w:rPr>
          <w:sz w:val="20"/>
        </w:rPr>
      </w:pPr>
      <w:r>
        <w:rPr>
          <w:sz w:val="20"/>
        </w:rPr>
        <w:t>in-transit to Australia on the date of this notice (22 December 2010), and are entered for home consumption before, on, or within 28 days after the day on which they were imported into</w:t>
      </w:r>
      <w:r>
        <w:rPr>
          <w:spacing w:val="-1"/>
          <w:sz w:val="20"/>
        </w:rPr>
        <w:t> </w:t>
      </w:r>
      <w:r>
        <w:rPr>
          <w:sz w:val="20"/>
        </w:rPr>
        <w:t>Australia.</w:t>
      </w:r>
    </w:p>
    <w:p>
      <w:pPr>
        <w:pStyle w:val="BodyText"/>
        <w:spacing w:before="7"/>
        <w:rPr>
          <w:sz w:val="19"/>
        </w:rPr>
      </w:pPr>
    </w:p>
    <w:p>
      <w:pPr>
        <w:pStyle w:val="BodyText"/>
        <w:ind w:left="221" w:right="202"/>
      </w:pPr>
      <w:r>
        <w:rPr/>
        <w:t>Goods shall be taken to be in transit to Australia if, and only if, they have left for direct shipment to Australia from a place of manufacture, or a warehouse, in the country from which they are being</w:t>
      </w:r>
      <w:r>
        <w:rPr>
          <w:spacing w:val="-2"/>
        </w:rPr>
        <w:t> </w:t>
      </w:r>
      <w:r>
        <w:rPr/>
        <w:t>exported.</w:t>
      </w:r>
    </w:p>
    <w:p>
      <w:pPr>
        <w:pStyle w:val="BodyText"/>
        <w:spacing w:before="11"/>
        <w:rPr>
          <w:sz w:val="19"/>
        </w:rPr>
      </w:pPr>
    </w:p>
    <w:p>
      <w:pPr>
        <w:pStyle w:val="Heading1"/>
      </w:pPr>
      <w:r>
        <w:rPr/>
        <w:t>Refund</w:t>
      </w:r>
      <w:r>
        <w:rPr>
          <w:spacing w:val="-9"/>
        </w:rPr>
        <w:t> </w:t>
      </w:r>
      <w:r>
        <w:rPr/>
        <w:t>claims</w:t>
      </w:r>
    </w:p>
    <w:p>
      <w:pPr>
        <w:pStyle w:val="BodyText"/>
        <w:spacing w:before="1"/>
        <w:rPr>
          <w:b/>
        </w:rPr>
      </w:pPr>
    </w:p>
    <w:p>
      <w:pPr>
        <w:pStyle w:val="BodyText"/>
        <w:ind w:left="221" w:right="157"/>
      </w:pPr>
      <w:r>
        <w:rPr/>
        <w:t>Customs and Border Protection does not intend to pay refunds for goods imported into Australia after the expiry of the relevant TCOs. These goods have already been entered for home consumption and no reliance was placed on the concession when imported.</w:t>
      </w:r>
    </w:p>
    <w:p>
      <w:pPr>
        <w:pStyle w:val="BodyText"/>
        <w:spacing w:before="9"/>
        <w:rPr>
          <w:sz w:val="19"/>
        </w:rPr>
      </w:pPr>
    </w:p>
    <w:p>
      <w:pPr>
        <w:pStyle w:val="Heading1"/>
      </w:pPr>
      <w:r>
        <w:rPr/>
        <w:t>Integrated Cargo System</w:t>
      </w:r>
    </w:p>
    <w:p>
      <w:pPr>
        <w:pStyle w:val="BodyText"/>
        <w:spacing w:before="3"/>
        <w:rPr>
          <w:b/>
        </w:rPr>
      </w:pPr>
    </w:p>
    <w:p>
      <w:pPr>
        <w:pStyle w:val="BodyText"/>
        <w:ind w:left="221" w:right="274" w:hanging="1"/>
      </w:pPr>
      <w:r>
        <w:rPr/>
        <w:t>Given the unique circumstances in this matter and Customs and Border Protection's approach to recovery action, we will record the expiry of the TCOs in the Integrated Cargo System as the date of this notice (22 December 2010), notwithstanding that the TCOs actually expired on the dates listed in the table above. This should ensure the ICS does not hold future transactions for possible debts accrued since the legal end date of the relevant TCO. Please note that you should not construe anything in this notice or the information in the ICS about the expired TCOs as the Commonwealth waiving any debts accrued because of the operation of the Legislative Instruments</w:t>
      </w:r>
      <w:r>
        <w:rPr>
          <w:spacing w:val="-3"/>
        </w:rPr>
        <w:t> </w:t>
      </w:r>
      <w:r>
        <w:rPr/>
        <w:t>Act.</w:t>
      </w:r>
    </w:p>
    <w:p>
      <w:pPr>
        <w:spacing w:after="0"/>
        <w:sectPr>
          <w:pgSz w:w="11910" w:h="16840"/>
          <w:pgMar w:top="1040" w:bottom="280" w:left="1480" w:right="1560"/>
        </w:sectPr>
      </w:pPr>
    </w:p>
    <w:p>
      <w:pPr>
        <w:pStyle w:val="Heading1"/>
        <w:spacing w:before="82"/>
      </w:pPr>
      <w:r>
        <w:rPr/>
        <w:t>Enquiries</w:t>
      </w:r>
    </w:p>
    <w:p>
      <w:pPr>
        <w:pStyle w:val="BodyText"/>
        <w:spacing w:before="3"/>
        <w:rPr>
          <w:b/>
        </w:rPr>
      </w:pPr>
    </w:p>
    <w:p>
      <w:pPr>
        <w:pStyle w:val="BodyText"/>
        <w:ind w:left="221" w:right="690"/>
      </w:pPr>
      <w:r>
        <w:rPr/>
        <w:t>If you have any questions about this notice, please direct those questions to the Manager, Tariff Concessions on telephone number (02) 6275 6041 or by email to </w:t>
      </w:r>
      <w:hyperlink r:id="rId8">
        <w:r>
          <w:rPr/>
          <w:t>tarcon@customs.gov.au.</w:t>
        </w:r>
      </w:hyperlink>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7"/>
        <w:ind w:left="221" w:right="6594"/>
      </w:pPr>
      <w:r>
        <w:rPr/>
        <w:t>Anthony Seebach National Manager Trade Services Branch CANBERRA</w:t>
      </w:r>
      <w:r>
        <w:rPr>
          <w:spacing w:val="54"/>
        </w:rPr>
        <w:t> </w:t>
      </w:r>
      <w:r>
        <w:rPr/>
        <w:t>ACT</w:t>
      </w:r>
    </w:p>
    <w:p>
      <w:pPr>
        <w:pStyle w:val="BodyText"/>
        <w:spacing w:before="122"/>
        <w:ind w:left="221"/>
      </w:pPr>
      <w:r>
        <w:rPr/>
        <w:t>22 December 2010</w:t>
      </w:r>
    </w:p>
    <w:p>
      <w:pPr>
        <w:pStyle w:val="BodyText"/>
        <w:rPr>
          <w:sz w:val="22"/>
        </w:rPr>
      </w:pPr>
    </w:p>
    <w:p>
      <w:pPr>
        <w:pStyle w:val="BodyText"/>
        <w:rPr>
          <w:sz w:val="22"/>
        </w:rPr>
      </w:pPr>
    </w:p>
    <w:p>
      <w:pPr>
        <w:pStyle w:val="BodyText"/>
        <w:spacing w:before="184"/>
        <w:ind w:left="221"/>
      </w:pPr>
      <w:r>
        <w:rPr/>
        <w:t>Attachment A – Expired TCOs</w:t>
      </w:r>
    </w:p>
    <w:p>
      <w:pPr>
        <w:spacing w:after="0"/>
        <w:sectPr>
          <w:pgSz w:w="11910" w:h="16840"/>
          <w:pgMar w:top="1260" w:bottom="280" w:left="1480" w:right="1560"/>
        </w:sectPr>
      </w:pPr>
    </w:p>
    <w:p>
      <w:pPr>
        <w:pStyle w:val="Heading1"/>
        <w:spacing w:before="71"/>
      </w:pPr>
      <w:r>
        <w:rPr/>
        <w:t>ATTACHMENT A – EXPIRED TCOs</w:t>
      </w:r>
    </w:p>
    <w:p>
      <w:pPr>
        <w:pStyle w:val="BodyText"/>
        <w:spacing w:before="4"/>
        <w:rPr>
          <w:b/>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7493"/>
      </w:tblGrid>
      <w:tr>
        <w:trPr>
          <w:trHeight w:val="230" w:hRule="atLeast"/>
        </w:trPr>
        <w:tc>
          <w:tcPr>
            <w:tcW w:w="1075" w:type="dxa"/>
          </w:tcPr>
          <w:p>
            <w:pPr>
              <w:pStyle w:val="TableParagraph"/>
              <w:spacing w:line="210" w:lineRule="exact"/>
              <w:rPr>
                <w:b/>
                <w:sz w:val="20"/>
              </w:rPr>
            </w:pPr>
            <w:r>
              <w:rPr>
                <w:b/>
                <w:sz w:val="20"/>
              </w:rPr>
              <w:t>TCO</w:t>
            </w:r>
          </w:p>
        </w:tc>
        <w:tc>
          <w:tcPr>
            <w:tcW w:w="7493" w:type="dxa"/>
          </w:tcPr>
          <w:p>
            <w:pPr>
              <w:pStyle w:val="TableParagraph"/>
              <w:spacing w:line="210" w:lineRule="exact"/>
              <w:ind w:left="105"/>
              <w:rPr>
                <w:b/>
                <w:sz w:val="20"/>
              </w:rPr>
            </w:pPr>
            <w:r>
              <w:rPr>
                <w:b/>
                <w:sz w:val="20"/>
              </w:rPr>
              <w:t>Wording</w:t>
            </w:r>
          </w:p>
        </w:tc>
      </w:tr>
      <w:tr>
        <w:trPr>
          <w:trHeight w:val="229" w:hRule="atLeast"/>
        </w:trPr>
        <w:tc>
          <w:tcPr>
            <w:tcW w:w="1075" w:type="dxa"/>
          </w:tcPr>
          <w:p>
            <w:pPr>
              <w:pStyle w:val="TableParagraph"/>
              <w:spacing w:line="210" w:lineRule="exact"/>
              <w:rPr>
                <w:sz w:val="20"/>
              </w:rPr>
            </w:pPr>
            <w:r>
              <w:rPr>
                <w:sz w:val="20"/>
              </w:rPr>
              <w:t>0710336</w:t>
            </w:r>
          </w:p>
        </w:tc>
        <w:tc>
          <w:tcPr>
            <w:tcW w:w="7493" w:type="dxa"/>
          </w:tcPr>
          <w:p>
            <w:pPr>
              <w:pStyle w:val="TableParagraph"/>
              <w:spacing w:line="210" w:lineRule="exact"/>
              <w:ind w:left="105"/>
              <w:rPr>
                <w:sz w:val="20"/>
              </w:rPr>
            </w:pPr>
            <w:r>
              <w:rPr>
                <w:sz w:val="20"/>
              </w:rPr>
              <w:t>FERRULES, wire rope splicing</w:t>
            </w:r>
          </w:p>
        </w:tc>
      </w:tr>
      <w:tr>
        <w:trPr>
          <w:trHeight w:val="460" w:hRule="atLeast"/>
        </w:trPr>
        <w:tc>
          <w:tcPr>
            <w:tcW w:w="1075" w:type="dxa"/>
          </w:tcPr>
          <w:p>
            <w:pPr>
              <w:pStyle w:val="TableParagraph"/>
              <w:rPr>
                <w:sz w:val="20"/>
              </w:rPr>
            </w:pPr>
            <w:r>
              <w:rPr>
                <w:sz w:val="20"/>
              </w:rPr>
              <w:t>0803658</w:t>
            </w:r>
          </w:p>
        </w:tc>
        <w:tc>
          <w:tcPr>
            <w:tcW w:w="7493" w:type="dxa"/>
          </w:tcPr>
          <w:p>
            <w:pPr>
              <w:pStyle w:val="TableParagraph"/>
              <w:spacing w:line="230" w:lineRule="exact" w:before="3"/>
              <w:ind w:left="105" w:right="733"/>
              <w:rPr>
                <w:sz w:val="20"/>
              </w:rPr>
            </w:pPr>
            <w:r>
              <w:rPr>
                <w:sz w:val="20"/>
              </w:rPr>
              <w:t>POLYVINYL ALCOHOL MATERIAL, weighing NOT more than 25 g/m2, in rolls</w:t>
            </w:r>
          </w:p>
        </w:tc>
      </w:tr>
      <w:tr>
        <w:trPr>
          <w:trHeight w:val="457" w:hRule="atLeast"/>
        </w:trPr>
        <w:tc>
          <w:tcPr>
            <w:tcW w:w="1075" w:type="dxa"/>
          </w:tcPr>
          <w:p>
            <w:pPr>
              <w:pStyle w:val="TableParagraph"/>
              <w:spacing w:line="227" w:lineRule="exact"/>
              <w:rPr>
                <w:sz w:val="20"/>
              </w:rPr>
            </w:pPr>
            <w:r>
              <w:rPr>
                <w:sz w:val="20"/>
              </w:rPr>
              <w:t>0803659</w:t>
            </w:r>
          </w:p>
        </w:tc>
        <w:tc>
          <w:tcPr>
            <w:tcW w:w="7493" w:type="dxa"/>
          </w:tcPr>
          <w:p>
            <w:pPr>
              <w:pStyle w:val="TableParagraph"/>
              <w:spacing w:line="230" w:lineRule="exact"/>
              <w:ind w:left="105" w:right="733"/>
              <w:rPr>
                <w:sz w:val="20"/>
              </w:rPr>
            </w:pPr>
            <w:r>
              <w:rPr>
                <w:sz w:val="20"/>
              </w:rPr>
              <w:t>POLYVINYL ALCOHOL MATERIAL, weighing more than 25 g/m2 but NOT more than 70 g/m2, in rolls</w:t>
            </w:r>
          </w:p>
        </w:tc>
      </w:tr>
      <w:tr>
        <w:trPr>
          <w:trHeight w:val="458" w:hRule="atLeast"/>
        </w:trPr>
        <w:tc>
          <w:tcPr>
            <w:tcW w:w="1075" w:type="dxa"/>
          </w:tcPr>
          <w:p>
            <w:pPr>
              <w:pStyle w:val="TableParagraph"/>
              <w:spacing w:line="227" w:lineRule="exact"/>
              <w:rPr>
                <w:sz w:val="20"/>
              </w:rPr>
            </w:pPr>
            <w:r>
              <w:rPr>
                <w:sz w:val="20"/>
              </w:rPr>
              <w:t>0803660</w:t>
            </w:r>
          </w:p>
        </w:tc>
        <w:tc>
          <w:tcPr>
            <w:tcW w:w="7493" w:type="dxa"/>
          </w:tcPr>
          <w:p>
            <w:pPr>
              <w:pStyle w:val="TableParagraph"/>
              <w:spacing w:line="230" w:lineRule="exact" w:before="1"/>
              <w:ind w:left="105" w:right="733"/>
              <w:rPr>
                <w:sz w:val="20"/>
              </w:rPr>
            </w:pPr>
            <w:r>
              <w:rPr>
                <w:sz w:val="20"/>
              </w:rPr>
              <w:t>POLYVINYL ALCOHOL MATERIAL, weighing more than 70 g/m2 but NOT more than 150 g/m2, in rolls</w:t>
            </w:r>
          </w:p>
        </w:tc>
      </w:tr>
      <w:tr>
        <w:trPr>
          <w:trHeight w:val="227" w:hRule="atLeast"/>
        </w:trPr>
        <w:tc>
          <w:tcPr>
            <w:tcW w:w="1075" w:type="dxa"/>
          </w:tcPr>
          <w:p>
            <w:pPr>
              <w:pStyle w:val="TableParagraph"/>
              <w:spacing w:line="207" w:lineRule="exact"/>
              <w:rPr>
                <w:sz w:val="20"/>
              </w:rPr>
            </w:pPr>
            <w:r>
              <w:rPr>
                <w:sz w:val="20"/>
              </w:rPr>
              <w:t>0803661</w:t>
            </w:r>
          </w:p>
        </w:tc>
        <w:tc>
          <w:tcPr>
            <w:tcW w:w="7493" w:type="dxa"/>
          </w:tcPr>
          <w:p>
            <w:pPr>
              <w:pStyle w:val="TableParagraph"/>
              <w:spacing w:line="207" w:lineRule="exact"/>
              <w:ind w:left="105"/>
              <w:rPr>
                <w:sz w:val="20"/>
              </w:rPr>
            </w:pPr>
            <w:r>
              <w:rPr>
                <w:sz w:val="20"/>
              </w:rPr>
              <w:t>POLYVINYL ALCOHOL MATERIAL, weighing more than 150 g/m2, in rolls</w:t>
            </w:r>
          </w:p>
        </w:tc>
      </w:tr>
      <w:tr>
        <w:trPr>
          <w:trHeight w:val="230" w:hRule="atLeast"/>
        </w:trPr>
        <w:tc>
          <w:tcPr>
            <w:tcW w:w="1075" w:type="dxa"/>
          </w:tcPr>
          <w:p>
            <w:pPr>
              <w:pStyle w:val="TableParagraph"/>
              <w:spacing w:line="210" w:lineRule="exact"/>
              <w:rPr>
                <w:sz w:val="20"/>
              </w:rPr>
            </w:pPr>
            <w:r>
              <w:rPr>
                <w:sz w:val="20"/>
              </w:rPr>
              <w:t>0704890</w:t>
            </w:r>
          </w:p>
        </w:tc>
        <w:tc>
          <w:tcPr>
            <w:tcW w:w="7493" w:type="dxa"/>
          </w:tcPr>
          <w:p>
            <w:pPr>
              <w:pStyle w:val="TableParagraph"/>
              <w:spacing w:line="210" w:lineRule="exact"/>
              <w:ind w:left="105"/>
              <w:rPr>
                <w:sz w:val="20"/>
              </w:rPr>
            </w:pPr>
            <w:r>
              <w:rPr>
                <w:sz w:val="20"/>
              </w:rPr>
              <w:t>FINGERS, POULTRY PLUCKING, rubber</w:t>
            </w:r>
          </w:p>
        </w:tc>
      </w:tr>
      <w:tr>
        <w:trPr>
          <w:trHeight w:val="1610" w:hRule="atLeast"/>
        </w:trPr>
        <w:tc>
          <w:tcPr>
            <w:tcW w:w="1075" w:type="dxa"/>
          </w:tcPr>
          <w:p>
            <w:pPr>
              <w:pStyle w:val="TableParagraph"/>
              <w:rPr>
                <w:sz w:val="20"/>
              </w:rPr>
            </w:pPr>
            <w:r>
              <w:rPr>
                <w:sz w:val="20"/>
              </w:rPr>
              <w:t>0613442</w:t>
            </w:r>
          </w:p>
        </w:tc>
        <w:tc>
          <w:tcPr>
            <w:tcW w:w="7493" w:type="dxa"/>
          </w:tcPr>
          <w:p>
            <w:pPr>
              <w:pStyle w:val="TableParagraph"/>
              <w:spacing w:line="228" w:lineRule="exact"/>
              <w:ind w:left="105"/>
              <w:rPr>
                <w:sz w:val="20"/>
              </w:rPr>
            </w:pPr>
            <w:r>
              <w:rPr>
                <w:sz w:val="20"/>
              </w:rPr>
              <w:t>WELDING GUNS OR TORCHES, being ANY of the following:</w:t>
            </w:r>
          </w:p>
          <w:p>
            <w:pPr>
              <w:pStyle w:val="TableParagraph"/>
              <w:numPr>
                <w:ilvl w:val="0"/>
                <w:numId w:val="2"/>
              </w:numPr>
              <w:tabs>
                <w:tab w:pos="572" w:val="left" w:leader="none"/>
              </w:tabs>
              <w:spacing w:line="229" w:lineRule="exact" w:before="0" w:after="0"/>
              <w:ind w:left="571" w:right="0" w:hanging="301"/>
              <w:jc w:val="left"/>
              <w:rPr>
                <w:sz w:val="20"/>
              </w:rPr>
            </w:pPr>
            <w:r>
              <w:rPr>
                <w:sz w:val="20"/>
              </w:rPr>
              <w:t>gas metal</w:t>
            </w:r>
            <w:r>
              <w:rPr>
                <w:spacing w:val="-3"/>
                <w:sz w:val="20"/>
              </w:rPr>
              <w:t> </w:t>
            </w:r>
            <w:r>
              <w:rPr>
                <w:sz w:val="20"/>
              </w:rPr>
              <w:t>arc;</w:t>
            </w:r>
          </w:p>
          <w:p>
            <w:pPr>
              <w:pStyle w:val="TableParagraph"/>
              <w:numPr>
                <w:ilvl w:val="0"/>
                <w:numId w:val="2"/>
              </w:numPr>
              <w:tabs>
                <w:tab w:pos="572" w:val="left" w:leader="none"/>
              </w:tabs>
              <w:spacing w:line="240" w:lineRule="auto" w:before="0" w:after="0"/>
              <w:ind w:left="571" w:right="0" w:hanging="301"/>
              <w:jc w:val="left"/>
              <w:rPr>
                <w:sz w:val="20"/>
              </w:rPr>
            </w:pPr>
            <w:r>
              <w:rPr>
                <w:sz w:val="20"/>
              </w:rPr>
              <w:t>flux</w:t>
            </w:r>
            <w:r>
              <w:rPr>
                <w:spacing w:val="-1"/>
                <w:sz w:val="20"/>
              </w:rPr>
              <w:t> </w:t>
            </w:r>
            <w:r>
              <w:rPr>
                <w:sz w:val="20"/>
              </w:rPr>
              <w:t>cored;</w:t>
            </w:r>
          </w:p>
          <w:p>
            <w:pPr>
              <w:pStyle w:val="TableParagraph"/>
              <w:numPr>
                <w:ilvl w:val="0"/>
                <w:numId w:val="2"/>
              </w:numPr>
              <w:tabs>
                <w:tab w:pos="562" w:val="left" w:leader="none"/>
              </w:tabs>
              <w:spacing w:line="240" w:lineRule="auto" w:before="1" w:after="0"/>
              <w:ind w:left="561" w:right="0" w:hanging="291"/>
              <w:jc w:val="left"/>
              <w:rPr>
                <w:sz w:val="20"/>
              </w:rPr>
            </w:pPr>
            <w:r>
              <w:rPr>
                <w:sz w:val="20"/>
              </w:rPr>
              <w:t>submerged</w:t>
            </w:r>
            <w:r>
              <w:rPr>
                <w:spacing w:val="-2"/>
                <w:sz w:val="20"/>
              </w:rPr>
              <w:t> </w:t>
            </w:r>
            <w:r>
              <w:rPr>
                <w:sz w:val="20"/>
              </w:rPr>
              <w:t>arc;</w:t>
            </w:r>
          </w:p>
          <w:p>
            <w:pPr>
              <w:pStyle w:val="TableParagraph"/>
              <w:numPr>
                <w:ilvl w:val="0"/>
                <w:numId w:val="2"/>
              </w:numPr>
              <w:tabs>
                <w:tab w:pos="572" w:val="left" w:leader="none"/>
              </w:tabs>
              <w:spacing w:line="240" w:lineRule="auto" w:before="0" w:after="0"/>
              <w:ind w:left="571" w:right="0" w:hanging="301"/>
              <w:jc w:val="left"/>
              <w:rPr>
                <w:sz w:val="20"/>
              </w:rPr>
            </w:pPr>
            <w:r>
              <w:rPr>
                <w:sz w:val="20"/>
              </w:rPr>
              <w:t>tungsten inert</w:t>
            </w:r>
            <w:r>
              <w:rPr>
                <w:spacing w:val="-1"/>
                <w:sz w:val="20"/>
              </w:rPr>
              <w:t> </w:t>
            </w:r>
            <w:r>
              <w:rPr>
                <w:sz w:val="20"/>
              </w:rPr>
              <w:t>gas;</w:t>
            </w:r>
          </w:p>
          <w:p>
            <w:pPr>
              <w:pStyle w:val="TableParagraph"/>
              <w:numPr>
                <w:ilvl w:val="0"/>
                <w:numId w:val="2"/>
              </w:numPr>
              <w:tabs>
                <w:tab w:pos="572" w:val="left" w:leader="none"/>
              </w:tabs>
              <w:spacing w:line="240" w:lineRule="auto" w:before="1" w:after="0"/>
              <w:ind w:left="571" w:right="0" w:hanging="301"/>
              <w:jc w:val="left"/>
              <w:rPr>
                <w:sz w:val="20"/>
              </w:rPr>
            </w:pPr>
            <w:r>
              <w:rPr>
                <w:sz w:val="20"/>
              </w:rPr>
              <w:t>carbon arc gouging;</w:t>
            </w:r>
          </w:p>
          <w:p>
            <w:pPr>
              <w:pStyle w:val="TableParagraph"/>
              <w:numPr>
                <w:ilvl w:val="0"/>
                <w:numId w:val="2"/>
              </w:numPr>
              <w:tabs>
                <w:tab w:pos="516" w:val="left" w:leader="none"/>
              </w:tabs>
              <w:spacing w:line="211" w:lineRule="exact" w:before="0" w:after="0"/>
              <w:ind w:left="516" w:right="0" w:hanging="245"/>
              <w:jc w:val="left"/>
              <w:rPr>
                <w:sz w:val="20"/>
              </w:rPr>
            </w:pPr>
            <w:r>
              <w:rPr>
                <w:sz w:val="20"/>
              </w:rPr>
              <w:t>manual metal</w:t>
            </w:r>
            <w:r>
              <w:rPr>
                <w:spacing w:val="-5"/>
                <w:sz w:val="20"/>
              </w:rPr>
              <w:t> </w:t>
            </w:r>
            <w:r>
              <w:rPr>
                <w:sz w:val="20"/>
              </w:rPr>
              <w:t>arc</w:t>
            </w:r>
          </w:p>
        </w:tc>
      </w:tr>
      <w:tr>
        <w:trPr>
          <w:trHeight w:val="458" w:hRule="atLeast"/>
        </w:trPr>
        <w:tc>
          <w:tcPr>
            <w:tcW w:w="1075" w:type="dxa"/>
          </w:tcPr>
          <w:p>
            <w:pPr>
              <w:pStyle w:val="TableParagraph"/>
              <w:rPr>
                <w:sz w:val="20"/>
              </w:rPr>
            </w:pPr>
            <w:r>
              <w:rPr>
                <w:sz w:val="20"/>
              </w:rPr>
              <w:t>0612103</w:t>
            </w:r>
          </w:p>
        </w:tc>
        <w:tc>
          <w:tcPr>
            <w:tcW w:w="7493" w:type="dxa"/>
          </w:tcPr>
          <w:p>
            <w:pPr>
              <w:pStyle w:val="TableParagraph"/>
              <w:spacing w:line="228" w:lineRule="exact"/>
              <w:ind w:left="105"/>
              <w:rPr>
                <w:sz w:val="20"/>
              </w:rPr>
            </w:pPr>
            <w:r>
              <w:rPr>
                <w:sz w:val="20"/>
              </w:rPr>
              <w:t>SHOWERS, FELT CLEANING, PAPER OR PAPERBOARD MAKING MACHINE,</w:t>
            </w:r>
          </w:p>
          <w:p>
            <w:pPr>
              <w:pStyle w:val="TableParagraph"/>
              <w:spacing w:line="210" w:lineRule="exact"/>
              <w:ind w:left="160"/>
              <w:rPr>
                <w:sz w:val="20"/>
              </w:rPr>
            </w:pPr>
            <w:r>
              <w:rPr>
                <w:sz w:val="20"/>
              </w:rPr>
              <w:t>traversing jet</w:t>
            </w:r>
          </w:p>
        </w:tc>
      </w:tr>
      <w:tr>
        <w:trPr>
          <w:trHeight w:val="921" w:hRule="atLeast"/>
        </w:trPr>
        <w:tc>
          <w:tcPr>
            <w:tcW w:w="1075" w:type="dxa"/>
          </w:tcPr>
          <w:p>
            <w:pPr>
              <w:pStyle w:val="TableParagraph"/>
              <w:rPr>
                <w:sz w:val="20"/>
              </w:rPr>
            </w:pPr>
            <w:r>
              <w:rPr>
                <w:sz w:val="20"/>
              </w:rPr>
              <w:t>0706698</w:t>
            </w:r>
          </w:p>
        </w:tc>
        <w:tc>
          <w:tcPr>
            <w:tcW w:w="7493" w:type="dxa"/>
          </w:tcPr>
          <w:p>
            <w:pPr>
              <w:pStyle w:val="TableParagraph"/>
              <w:spacing w:line="240" w:lineRule="auto"/>
              <w:ind w:left="105" w:right="1322"/>
              <w:rPr>
                <w:sz w:val="20"/>
              </w:rPr>
            </w:pPr>
            <w:r>
              <w:rPr>
                <w:sz w:val="20"/>
              </w:rPr>
              <w:t>RIBBONS, THERMAL, polyester film carrier, wound on a plastic core, having BOTH of the following:</w:t>
            </w:r>
          </w:p>
          <w:p>
            <w:pPr>
              <w:pStyle w:val="TableParagraph"/>
              <w:numPr>
                <w:ilvl w:val="0"/>
                <w:numId w:val="3"/>
              </w:numPr>
              <w:tabs>
                <w:tab w:pos="572" w:val="left" w:leader="none"/>
              </w:tabs>
              <w:spacing w:line="240" w:lineRule="auto" w:before="0" w:after="0"/>
              <w:ind w:left="571" w:right="0" w:hanging="301"/>
              <w:jc w:val="left"/>
              <w:rPr>
                <w:sz w:val="20"/>
              </w:rPr>
            </w:pPr>
            <w:r>
              <w:rPr>
                <w:sz w:val="20"/>
              </w:rPr>
              <w:t>maximum width 110</w:t>
            </w:r>
            <w:r>
              <w:rPr>
                <w:spacing w:val="5"/>
                <w:sz w:val="20"/>
              </w:rPr>
              <w:t> </w:t>
            </w:r>
            <w:r>
              <w:rPr>
                <w:sz w:val="20"/>
              </w:rPr>
              <w:t>mm;</w:t>
            </w:r>
          </w:p>
          <w:p>
            <w:pPr>
              <w:pStyle w:val="TableParagraph"/>
              <w:numPr>
                <w:ilvl w:val="0"/>
                <w:numId w:val="3"/>
              </w:numPr>
              <w:tabs>
                <w:tab w:pos="572" w:val="left" w:leader="none"/>
              </w:tabs>
              <w:spacing w:line="211" w:lineRule="exact" w:before="0" w:after="0"/>
              <w:ind w:left="571" w:right="0" w:hanging="301"/>
              <w:jc w:val="left"/>
              <w:rPr>
                <w:sz w:val="20"/>
              </w:rPr>
            </w:pPr>
            <w:r>
              <w:rPr>
                <w:sz w:val="20"/>
              </w:rPr>
              <w:t>maximum length 450</w:t>
            </w:r>
            <w:r>
              <w:rPr>
                <w:spacing w:val="3"/>
                <w:sz w:val="20"/>
              </w:rPr>
              <w:t> </w:t>
            </w:r>
            <w:r>
              <w:rPr>
                <w:sz w:val="20"/>
              </w:rPr>
              <w:t>m</w:t>
            </w:r>
          </w:p>
        </w:tc>
      </w:tr>
      <w:tr>
        <w:trPr>
          <w:trHeight w:val="918" w:hRule="atLeast"/>
        </w:trPr>
        <w:tc>
          <w:tcPr>
            <w:tcW w:w="1075" w:type="dxa"/>
          </w:tcPr>
          <w:p>
            <w:pPr>
              <w:pStyle w:val="TableParagraph"/>
              <w:rPr>
                <w:sz w:val="20"/>
              </w:rPr>
            </w:pPr>
            <w:r>
              <w:rPr>
                <w:sz w:val="20"/>
              </w:rPr>
              <w:t>0712635</w:t>
            </w:r>
          </w:p>
        </w:tc>
        <w:tc>
          <w:tcPr>
            <w:tcW w:w="7493" w:type="dxa"/>
          </w:tcPr>
          <w:p>
            <w:pPr>
              <w:pStyle w:val="TableParagraph"/>
              <w:spacing w:line="240" w:lineRule="auto"/>
              <w:ind w:left="105" w:right="1322"/>
              <w:rPr>
                <w:sz w:val="20"/>
              </w:rPr>
            </w:pPr>
            <w:r>
              <w:rPr>
                <w:sz w:val="20"/>
              </w:rPr>
              <w:t>SPEAKER SETS, MULTI-MEDIA, magnetically shielded, comprising BOTH of the following:</w:t>
            </w:r>
          </w:p>
          <w:p>
            <w:pPr>
              <w:pStyle w:val="TableParagraph"/>
              <w:numPr>
                <w:ilvl w:val="0"/>
                <w:numId w:val="4"/>
              </w:numPr>
              <w:tabs>
                <w:tab w:pos="572" w:val="left" w:leader="none"/>
              </w:tabs>
              <w:spacing w:line="229" w:lineRule="exact" w:before="0" w:after="0"/>
              <w:ind w:left="571" w:right="0" w:hanging="301"/>
              <w:jc w:val="left"/>
              <w:rPr>
                <w:sz w:val="20"/>
              </w:rPr>
            </w:pPr>
            <w:r>
              <w:rPr>
                <w:sz w:val="20"/>
              </w:rPr>
              <w:t>power</w:t>
            </w:r>
            <w:r>
              <w:rPr>
                <w:spacing w:val="-1"/>
                <w:sz w:val="20"/>
              </w:rPr>
              <w:t> </w:t>
            </w:r>
            <w:r>
              <w:rPr>
                <w:sz w:val="20"/>
              </w:rPr>
              <w:t>supplies;</w:t>
            </w:r>
          </w:p>
          <w:p>
            <w:pPr>
              <w:pStyle w:val="TableParagraph"/>
              <w:numPr>
                <w:ilvl w:val="0"/>
                <w:numId w:val="4"/>
              </w:numPr>
              <w:tabs>
                <w:tab w:pos="572" w:val="left" w:leader="none"/>
              </w:tabs>
              <w:spacing w:line="211" w:lineRule="exact" w:before="0" w:after="0"/>
              <w:ind w:left="571" w:right="0" w:hanging="301"/>
              <w:jc w:val="left"/>
              <w:rPr>
                <w:sz w:val="20"/>
              </w:rPr>
            </w:pPr>
            <w:r>
              <w:rPr>
                <w:sz w:val="20"/>
              </w:rPr>
              <w:t>amplifier</w:t>
            </w:r>
          </w:p>
        </w:tc>
      </w:tr>
      <w:tr>
        <w:trPr>
          <w:trHeight w:val="7360" w:hRule="atLeast"/>
        </w:trPr>
        <w:tc>
          <w:tcPr>
            <w:tcW w:w="1075" w:type="dxa"/>
          </w:tcPr>
          <w:p>
            <w:pPr>
              <w:pStyle w:val="TableParagraph"/>
              <w:rPr>
                <w:sz w:val="20"/>
              </w:rPr>
            </w:pPr>
            <w:r>
              <w:rPr>
                <w:sz w:val="20"/>
              </w:rPr>
              <w:t>0711125</w:t>
            </w:r>
          </w:p>
        </w:tc>
        <w:tc>
          <w:tcPr>
            <w:tcW w:w="7493" w:type="dxa"/>
          </w:tcPr>
          <w:p>
            <w:pPr>
              <w:pStyle w:val="TableParagraph"/>
              <w:ind w:left="105"/>
              <w:rPr>
                <w:sz w:val="20"/>
              </w:rPr>
            </w:pPr>
            <w:r>
              <w:rPr>
                <w:sz w:val="20"/>
              </w:rPr>
              <w:t>PARTS, POULTRY PROCESSING MACHINERY, being ANY of the following:</w:t>
            </w:r>
          </w:p>
          <w:p>
            <w:pPr>
              <w:pStyle w:val="TableParagraph"/>
              <w:numPr>
                <w:ilvl w:val="0"/>
                <w:numId w:val="5"/>
              </w:numPr>
              <w:tabs>
                <w:tab w:pos="627" w:val="left" w:leader="none"/>
              </w:tabs>
              <w:spacing w:line="240" w:lineRule="auto" w:before="0" w:after="0"/>
              <w:ind w:left="626" w:right="0" w:hanging="301"/>
              <w:jc w:val="left"/>
              <w:rPr>
                <w:sz w:val="20"/>
              </w:rPr>
            </w:pPr>
            <w:r>
              <w:rPr>
                <w:sz w:val="20"/>
              </w:rPr>
              <w:t>adjusting arms;</w:t>
            </w:r>
          </w:p>
          <w:p>
            <w:pPr>
              <w:pStyle w:val="TableParagraph"/>
              <w:numPr>
                <w:ilvl w:val="0"/>
                <w:numId w:val="5"/>
              </w:numPr>
              <w:tabs>
                <w:tab w:pos="627" w:val="left" w:leader="none"/>
              </w:tabs>
              <w:spacing w:line="240" w:lineRule="auto" w:before="1" w:after="0"/>
              <w:ind w:left="626" w:right="0" w:hanging="301"/>
              <w:jc w:val="left"/>
              <w:rPr>
                <w:sz w:val="20"/>
              </w:rPr>
            </w:pPr>
            <w:r>
              <w:rPr>
                <w:sz w:val="20"/>
              </w:rPr>
              <w:t>adjusters;</w:t>
            </w:r>
          </w:p>
          <w:p>
            <w:pPr>
              <w:pStyle w:val="TableParagraph"/>
              <w:numPr>
                <w:ilvl w:val="0"/>
                <w:numId w:val="5"/>
              </w:numPr>
              <w:tabs>
                <w:tab w:pos="617" w:val="left" w:leader="none"/>
              </w:tabs>
              <w:spacing w:line="240" w:lineRule="auto" w:before="0" w:after="0"/>
              <w:ind w:left="616" w:right="0" w:hanging="291"/>
              <w:jc w:val="left"/>
              <w:rPr>
                <w:sz w:val="20"/>
              </w:rPr>
            </w:pPr>
            <w:r>
              <w:rPr>
                <w:sz w:val="20"/>
              </w:rPr>
              <w:t>anti</w:t>
            </w:r>
            <w:r>
              <w:rPr>
                <w:spacing w:val="-3"/>
                <w:sz w:val="20"/>
              </w:rPr>
              <w:t> </w:t>
            </w:r>
            <w:r>
              <w:rPr>
                <w:sz w:val="20"/>
              </w:rPr>
              <w:t>rotators;</w:t>
            </w:r>
          </w:p>
          <w:p>
            <w:pPr>
              <w:pStyle w:val="TableParagraph"/>
              <w:numPr>
                <w:ilvl w:val="0"/>
                <w:numId w:val="5"/>
              </w:numPr>
              <w:tabs>
                <w:tab w:pos="627" w:val="left" w:leader="none"/>
              </w:tabs>
              <w:spacing w:line="229" w:lineRule="exact" w:before="1" w:after="0"/>
              <w:ind w:left="626" w:right="0" w:hanging="301"/>
              <w:jc w:val="left"/>
              <w:rPr>
                <w:sz w:val="20"/>
              </w:rPr>
            </w:pPr>
            <w:r>
              <w:rPr>
                <w:sz w:val="20"/>
              </w:rPr>
              <w:t>arms;</w:t>
            </w:r>
          </w:p>
          <w:p>
            <w:pPr>
              <w:pStyle w:val="TableParagraph"/>
              <w:numPr>
                <w:ilvl w:val="0"/>
                <w:numId w:val="5"/>
              </w:numPr>
              <w:tabs>
                <w:tab w:pos="627" w:val="left" w:leader="none"/>
              </w:tabs>
              <w:spacing w:line="229" w:lineRule="exact" w:before="0" w:after="0"/>
              <w:ind w:left="626" w:right="0" w:hanging="301"/>
              <w:jc w:val="left"/>
              <w:rPr>
                <w:sz w:val="20"/>
              </w:rPr>
            </w:pPr>
            <w:r>
              <w:rPr>
                <w:sz w:val="20"/>
              </w:rPr>
              <w:t>base</w:t>
            </w:r>
            <w:r>
              <w:rPr>
                <w:spacing w:val="-7"/>
                <w:sz w:val="20"/>
              </w:rPr>
              <w:t> </w:t>
            </w:r>
            <w:r>
              <w:rPr>
                <w:sz w:val="20"/>
              </w:rPr>
              <w:t>plates;</w:t>
            </w:r>
          </w:p>
          <w:p>
            <w:pPr>
              <w:pStyle w:val="TableParagraph"/>
              <w:numPr>
                <w:ilvl w:val="0"/>
                <w:numId w:val="5"/>
              </w:numPr>
              <w:tabs>
                <w:tab w:pos="574" w:val="left" w:leader="none"/>
              </w:tabs>
              <w:spacing w:line="240" w:lineRule="auto" w:before="0" w:after="0"/>
              <w:ind w:left="573" w:right="0" w:hanging="248"/>
              <w:jc w:val="left"/>
              <w:rPr>
                <w:sz w:val="20"/>
              </w:rPr>
            </w:pPr>
            <w:r>
              <w:rPr>
                <w:sz w:val="20"/>
              </w:rPr>
              <w:t>bird</w:t>
            </w:r>
            <w:r>
              <w:rPr>
                <w:spacing w:val="-11"/>
                <w:sz w:val="20"/>
              </w:rPr>
              <w:t> </w:t>
            </w:r>
            <w:r>
              <w:rPr>
                <w:sz w:val="20"/>
              </w:rPr>
              <w:t>washers;</w:t>
            </w:r>
          </w:p>
          <w:p>
            <w:pPr>
              <w:pStyle w:val="TableParagraph"/>
              <w:numPr>
                <w:ilvl w:val="0"/>
                <w:numId w:val="5"/>
              </w:numPr>
              <w:tabs>
                <w:tab w:pos="627" w:val="left" w:leader="none"/>
              </w:tabs>
              <w:spacing w:line="240" w:lineRule="auto" w:before="1" w:after="0"/>
              <w:ind w:left="626" w:right="0" w:hanging="301"/>
              <w:jc w:val="left"/>
              <w:rPr>
                <w:sz w:val="20"/>
              </w:rPr>
            </w:pPr>
            <w:r>
              <w:rPr>
                <w:sz w:val="20"/>
              </w:rPr>
              <w:t>blade</w:t>
            </w:r>
            <w:r>
              <w:rPr>
                <w:spacing w:val="-2"/>
                <w:sz w:val="20"/>
              </w:rPr>
              <w:t> </w:t>
            </w:r>
            <w:r>
              <w:rPr>
                <w:sz w:val="20"/>
              </w:rPr>
              <w:t>holders;</w:t>
            </w:r>
          </w:p>
          <w:p>
            <w:pPr>
              <w:pStyle w:val="TableParagraph"/>
              <w:numPr>
                <w:ilvl w:val="0"/>
                <w:numId w:val="5"/>
              </w:numPr>
              <w:tabs>
                <w:tab w:pos="627" w:val="left" w:leader="none"/>
              </w:tabs>
              <w:spacing w:line="240" w:lineRule="auto" w:before="0" w:after="0"/>
              <w:ind w:left="626" w:right="0" w:hanging="301"/>
              <w:jc w:val="left"/>
              <w:rPr>
                <w:sz w:val="20"/>
              </w:rPr>
            </w:pPr>
            <w:r>
              <w:rPr>
                <w:sz w:val="20"/>
              </w:rPr>
              <w:t>blades;</w:t>
            </w:r>
          </w:p>
          <w:p>
            <w:pPr>
              <w:pStyle w:val="TableParagraph"/>
              <w:numPr>
                <w:ilvl w:val="0"/>
                <w:numId w:val="5"/>
              </w:numPr>
              <w:tabs>
                <w:tab w:pos="560" w:val="left" w:leader="none"/>
              </w:tabs>
              <w:spacing w:line="240" w:lineRule="auto" w:before="1" w:after="0"/>
              <w:ind w:left="559" w:right="0" w:hanging="234"/>
              <w:jc w:val="left"/>
              <w:rPr>
                <w:sz w:val="20"/>
              </w:rPr>
            </w:pPr>
            <w:r>
              <w:rPr>
                <w:sz w:val="20"/>
              </w:rPr>
              <w:t>blocks;</w:t>
            </w:r>
          </w:p>
          <w:p>
            <w:pPr>
              <w:pStyle w:val="TableParagraph"/>
              <w:numPr>
                <w:ilvl w:val="0"/>
                <w:numId w:val="5"/>
              </w:numPr>
              <w:tabs>
                <w:tab w:pos="562" w:val="left" w:leader="none"/>
              </w:tabs>
              <w:spacing w:line="229" w:lineRule="exact" w:before="0" w:after="0"/>
              <w:ind w:left="561" w:right="0" w:hanging="236"/>
              <w:jc w:val="left"/>
              <w:rPr>
                <w:sz w:val="20"/>
              </w:rPr>
            </w:pPr>
            <w:r>
              <w:rPr>
                <w:sz w:val="20"/>
              </w:rPr>
              <w:t>cam</w:t>
            </w:r>
            <w:r>
              <w:rPr>
                <w:spacing w:val="3"/>
                <w:sz w:val="20"/>
              </w:rPr>
              <w:t> </w:t>
            </w:r>
            <w:r>
              <w:rPr>
                <w:sz w:val="20"/>
              </w:rPr>
              <w:t>guides;</w:t>
            </w:r>
          </w:p>
          <w:p>
            <w:pPr>
              <w:pStyle w:val="TableParagraph"/>
              <w:numPr>
                <w:ilvl w:val="0"/>
                <w:numId w:val="5"/>
              </w:numPr>
              <w:tabs>
                <w:tab w:pos="619" w:val="left" w:leader="none"/>
              </w:tabs>
              <w:spacing w:line="229" w:lineRule="exact" w:before="0" w:after="0"/>
              <w:ind w:left="619" w:right="0" w:hanging="293"/>
              <w:jc w:val="left"/>
              <w:rPr>
                <w:sz w:val="20"/>
              </w:rPr>
            </w:pPr>
            <w:r>
              <w:rPr>
                <w:sz w:val="20"/>
              </w:rPr>
              <w:t>cam</w:t>
            </w:r>
            <w:r>
              <w:rPr>
                <w:spacing w:val="-11"/>
                <w:sz w:val="20"/>
              </w:rPr>
              <w:t> </w:t>
            </w:r>
            <w:r>
              <w:rPr>
                <w:sz w:val="20"/>
              </w:rPr>
              <w:t>rollers;</w:t>
            </w:r>
          </w:p>
          <w:p>
            <w:pPr>
              <w:pStyle w:val="TableParagraph"/>
              <w:numPr>
                <w:ilvl w:val="0"/>
                <w:numId w:val="5"/>
              </w:numPr>
              <w:tabs>
                <w:tab w:pos="560" w:val="left" w:leader="none"/>
              </w:tabs>
              <w:spacing w:line="240" w:lineRule="auto" w:before="1" w:after="0"/>
              <w:ind w:left="559" w:right="0" w:hanging="234"/>
              <w:jc w:val="left"/>
              <w:rPr>
                <w:sz w:val="20"/>
              </w:rPr>
            </w:pPr>
            <w:r>
              <w:rPr>
                <w:sz w:val="20"/>
              </w:rPr>
              <w:t>cam</w:t>
            </w:r>
            <w:r>
              <w:rPr>
                <w:spacing w:val="-5"/>
                <w:sz w:val="20"/>
              </w:rPr>
              <w:t> </w:t>
            </w:r>
            <w:r>
              <w:rPr>
                <w:sz w:val="20"/>
              </w:rPr>
              <w:t>wheels;</w:t>
            </w:r>
          </w:p>
          <w:p>
            <w:pPr>
              <w:pStyle w:val="TableParagraph"/>
              <w:numPr>
                <w:ilvl w:val="0"/>
                <w:numId w:val="5"/>
              </w:numPr>
              <w:tabs>
                <w:tab w:pos="684" w:val="left" w:leader="none"/>
              </w:tabs>
              <w:spacing w:line="240" w:lineRule="auto" w:before="0" w:after="0"/>
              <w:ind w:left="683" w:right="0" w:hanging="358"/>
              <w:jc w:val="left"/>
              <w:rPr>
                <w:sz w:val="20"/>
              </w:rPr>
            </w:pPr>
            <w:r>
              <w:rPr>
                <w:sz w:val="20"/>
              </w:rPr>
              <w:t>carriers;</w:t>
            </w:r>
          </w:p>
          <w:p>
            <w:pPr>
              <w:pStyle w:val="TableParagraph"/>
              <w:numPr>
                <w:ilvl w:val="0"/>
                <w:numId w:val="5"/>
              </w:numPr>
              <w:tabs>
                <w:tab w:pos="627" w:val="left" w:leader="none"/>
              </w:tabs>
              <w:spacing w:line="240" w:lineRule="auto" w:before="1" w:after="0"/>
              <w:ind w:left="626" w:right="0" w:hanging="301"/>
              <w:jc w:val="left"/>
              <w:rPr>
                <w:sz w:val="20"/>
              </w:rPr>
            </w:pPr>
            <w:r>
              <w:rPr>
                <w:sz w:val="20"/>
              </w:rPr>
              <w:t>catching arms;</w:t>
            </w:r>
          </w:p>
          <w:p>
            <w:pPr>
              <w:pStyle w:val="TableParagraph"/>
              <w:numPr>
                <w:ilvl w:val="0"/>
                <w:numId w:val="5"/>
              </w:numPr>
              <w:tabs>
                <w:tab w:pos="627" w:val="left" w:leader="none"/>
              </w:tabs>
              <w:spacing w:line="229" w:lineRule="exact" w:before="0" w:after="0"/>
              <w:ind w:left="626" w:right="0" w:hanging="301"/>
              <w:jc w:val="left"/>
              <w:rPr>
                <w:sz w:val="20"/>
              </w:rPr>
            </w:pPr>
            <w:r>
              <w:rPr>
                <w:sz w:val="20"/>
              </w:rPr>
              <w:t>cells;</w:t>
            </w:r>
          </w:p>
          <w:p>
            <w:pPr>
              <w:pStyle w:val="TableParagraph"/>
              <w:numPr>
                <w:ilvl w:val="0"/>
                <w:numId w:val="5"/>
              </w:numPr>
              <w:tabs>
                <w:tab w:pos="627" w:val="left" w:leader="none"/>
              </w:tabs>
              <w:spacing w:line="229" w:lineRule="exact" w:before="0" w:after="0"/>
              <w:ind w:left="626" w:right="0" w:hanging="301"/>
              <w:jc w:val="left"/>
              <w:rPr>
                <w:sz w:val="20"/>
              </w:rPr>
            </w:pPr>
            <w:r>
              <w:rPr>
                <w:sz w:val="20"/>
              </w:rPr>
              <w:t>clamp</w:t>
            </w:r>
            <w:r>
              <w:rPr>
                <w:spacing w:val="-2"/>
                <w:sz w:val="20"/>
              </w:rPr>
              <w:t> </w:t>
            </w:r>
            <w:r>
              <w:rPr>
                <w:sz w:val="20"/>
              </w:rPr>
              <w:t>bushes;</w:t>
            </w:r>
          </w:p>
          <w:p>
            <w:pPr>
              <w:pStyle w:val="TableParagraph"/>
              <w:numPr>
                <w:ilvl w:val="0"/>
                <w:numId w:val="5"/>
              </w:numPr>
              <w:tabs>
                <w:tab w:pos="627" w:val="left" w:leader="none"/>
              </w:tabs>
              <w:spacing w:line="240" w:lineRule="auto" w:before="1" w:after="0"/>
              <w:ind w:left="626" w:right="0" w:hanging="301"/>
              <w:jc w:val="left"/>
              <w:rPr>
                <w:sz w:val="20"/>
              </w:rPr>
            </w:pPr>
            <w:r>
              <w:rPr>
                <w:sz w:val="20"/>
              </w:rPr>
              <w:t>collars;</w:t>
            </w:r>
          </w:p>
          <w:p>
            <w:pPr>
              <w:pStyle w:val="TableParagraph"/>
              <w:numPr>
                <w:ilvl w:val="0"/>
                <w:numId w:val="5"/>
              </w:numPr>
              <w:tabs>
                <w:tab w:pos="584" w:val="left" w:leader="none"/>
              </w:tabs>
              <w:spacing w:line="240" w:lineRule="auto" w:before="0" w:after="0"/>
              <w:ind w:left="583" w:right="0" w:hanging="258"/>
              <w:jc w:val="left"/>
              <w:rPr>
                <w:sz w:val="20"/>
              </w:rPr>
            </w:pPr>
            <w:r>
              <w:rPr>
                <w:sz w:val="20"/>
              </w:rPr>
              <w:t>cones;</w:t>
            </w:r>
          </w:p>
          <w:p>
            <w:pPr>
              <w:pStyle w:val="TableParagraph"/>
              <w:numPr>
                <w:ilvl w:val="0"/>
                <w:numId w:val="5"/>
              </w:numPr>
              <w:tabs>
                <w:tab w:pos="617" w:val="left" w:leader="none"/>
              </w:tabs>
              <w:spacing w:line="240" w:lineRule="auto" w:before="1" w:after="0"/>
              <w:ind w:left="616" w:right="0" w:hanging="291"/>
              <w:jc w:val="left"/>
              <w:rPr>
                <w:sz w:val="20"/>
              </w:rPr>
            </w:pPr>
            <w:r>
              <w:rPr>
                <w:sz w:val="20"/>
              </w:rPr>
              <w:t>corner</w:t>
            </w:r>
            <w:r>
              <w:rPr>
                <w:spacing w:val="1"/>
                <w:sz w:val="20"/>
              </w:rPr>
              <w:t> </w:t>
            </w:r>
            <w:r>
              <w:rPr>
                <w:sz w:val="20"/>
              </w:rPr>
              <w:t>wheels;</w:t>
            </w:r>
          </w:p>
          <w:p>
            <w:pPr>
              <w:pStyle w:val="TableParagraph"/>
              <w:numPr>
                <w:ilvl w:val="0"/>
                <w:numId w:val="5"/>
              </w:numPr>
              <w:tabs>
                <w:tab w:pos="572" w:val="left" w:leader="none"/>
              </w:tabs>
              <w:spacing w:line="240" w:lineRule="auto" w:before="0" w:after="0"/>
              <w:ind w:left="571" w:right="0" w:hanging="246"/>
              <w:jc w:val="left"/>
              <w:rPr>
                <w:sz w:val="20"/>
              </w:rPr>
            </w:pPr>
            <w:r>
              <w:rPr>
                <w:sz w:val="20"/>
              </w:rPr>
              <w:t>crankshaft</w:t>
            </w:r>
            <w:r>
              <w:rPr>
                <w:spacing w:val="-2"/>
                <w:sz w:val="20"/>
              </w:rPr>
              <w:t> </w:t>
            </w:r>
            <w:r>
              <w:rPr>
                <w:sz w:val="20"/>
              </w:rPr>
              <w:t>handwheel;</w:t>
            </w:r>
          </w:p>
          <w:p>
            <w:pPr>
              <w:pStyle w:val="TableParagraph"/>
              <w:numPr>
                <w:ilvl w:val="0"/>
                <w:numId w:val="5"/>
              </w:numPr>
              <w:tabs>
                <w:tab w:pos="627" w:val="left" w:leader="none"/>
              </w:tabs>
              <w:spacing w:line="229" w:lineRule="exact" w:before="1" w:after="0"/>
              <w:ind w:left="626" w:right="0" w:hanging="301"/>
              <w:jc w:val="left"/>
              <w:rPr>
                <w:sz w:val="20"/>
              </w:rPr>
            </w:pPr>
            <w:r>
              <w:rPr>
                <w:sz w:val="20"/>
              </w:rPr>
              <w:t>cutters;</w:t>
            </w:r>
          </w:p>
          <w:p>
            <w:pPr>
              <w:pStyle w:val="TableParagraph"/>
              <w:numPr>
                <w:ilvl w:val="0"/>
                <w:numId w:val="5"/>
              </w:numPr>
              <w:tabs>
                <w:tab w:pos="615" w:val="left" w:leader="none"/>
              </w:tabs>
              <w:spacing w:line="229" w:lineRule="exact" w:before="0" w:after="0"/>
              <w:ind w:left="614" w:right="0" w:hanging="289"/>
              <w:jc w:val="left"/>
              <w:rPr>
                <w:sz w:val="20"/>
              </w:rPr>
            </w:pPr>
            <w:r>
              <w:rPr>
                <w:sz w:val="20"/>
              </w:rPr>
              <w:t>cutting edges;</w:t>
            </w:r>
          </w:p>
          <w:p>
            <w:pPr>
              <w:pStyle w:val="TableParagraph"/>
              <w:numPr>
                <w:ilvl w:val="0"/>
                <w:numId w:val="5"/>
              </w:numPr>
              <w:tabs>
                <w:tab w:pos="661" w:val="left" w:leader="none"/>
              </w:tabs>
              <w:spacing w:line="240" w:lineRule="auto" w:before="0" w:after="0"/>
              <w:ind w:left="660" w:right="0" w:hanging="335"/>
              <w:jc w:val="left"/>
              <w:rPr>
                <w:sz w:val="20"/>
              </w:rPr>
            </w:pPr>
            <w:r>
              <w:rPr>
                <w:sz w:val="20"/>
              </w:rPr>
              <w:t>cutting</w:t>
            </w:r>
            <w:r>
              <w:rPr>
                <w:spacing w:val="-2"/>
                <w:sz w:val="20"/>
              </w:rPr>
              <w:t> </w:t>
            </w:r>
            <w:r>
              <w:rPr>
                <w:sz w:val="20"/>
              </w:rPr>
              <w:t>segments;</w:t>
            </w:r>
          </w:p>
          <w:p>
            <w:pPr>
              <w:pStyle w:val="TableParagraph"/>
              <w:numPr>
                <w:ilvl w:val="0"/>
                <w:numId w:val="5"/>
              </w:numPr>
              <w:tabs>
                <w:tab w:pos="617" w:val="left" w:leader="none"/>
              </w:tabs>
              <w:spacing w:line="240" w:lineRule="auto" w:before="1" w:after="0"/>
              <w:ind w:left="616" w:right="0" w:hanging="291"/>
              <w:jc w:val="left"/>
              <w:rPr>
                <w:sz w:val="20"/>
              </w:rPr>
            </w:pPr>
            <w:r>
              <w:rPr>
                <w:sz w:val="20"/>
              </w:rPr>
              <w:t>cutting</w:t>
            </w:r>
            <w:r>
              <w:rPr>
                <w:spacing w:val="3"/>
                <w:sz w:val="20"/>
              </w:rPr>
              <w:t> </w:t>
            </w:r>
            <w:r>
              <w:rPr>
                <w:sz w:val="20"/>
              </w:rPr>
              <w:t>wheels;</w:t>
            </w:r>
          </w:p>
          <w:p>
            <w:pPr>
              <w:pStyle w:val="TableParagraph"/>
              <w:numPr>
                <w:ilvl w:val="0"/>
                <w:numId w:val="5"/>
              </w:numPr>
              <w:tabs>
                <w:tab w:pos="615" w:val="left" w:leader="none"/>
              </w:tabs>
              <w:spacing w:line="240" w:lineRule="auto" w:before="0" w:after="0"/>
              <w:ind w:left="614" w:right="0" w:hanging="289"/>
              <w:jc w:val="left"/>
              <w:rPr>
                <w:sz w:val="20"/>
              </w:rPr>
            </w:pPr>
            <w:r>
              <w:rPr>
                <w:sz w:val="20"/>
              </w:rPr>
              <w:t>cylindrical</w:t>
            </w:r>
            <w:r>
              <w:rPr>
                <w:spacing w:val="-3"/>
                <w:sz w:val="20"/>
              </w:rPr>
              <w:t> </w:t>
            </w:r>
            <w:r>
              <w:rPr>
                <w:sz w:val="20"/>
              </w:rPr>
              <w:t>knives;</w:t>
            </w:r>
          </w:p>
          <w:p>
            <w:pPr>
              <w:pStyle w:val="TableParagraph"/>
              <w:numPr>
                <w:ilvl w:val="0"/>
                <w:numId w:val="5"/>
              </w:numPr>
              <w:tabs>
                <w:tab w:pos="615" w:val="left" w:leader="none"/>
              </w:tabs>
              <w:spacing w:line="240" w:lineRule="auto" w:before="0" w:after="0"/>
              <w:ind w:left="271" w:right="5409" w:firstLine="55"/>
              <w:jc w:val="left"/>
              <w:rPr>
                <w:sz w:val="20"/>
              </w:rPr>
            </w:pPr>
            <w:r>
              <w:rPr>
                <w:sz w:val="20"/>
              </w:rPr>
              <w:t>detecting plates; (aa)</w:t>
            </w:r>
            <w:r>
              <w:rPr>
                <w:spacing w:val="-1"/>
                <w:sz w:val="20"/>
              </w:rPr>
              <w:t> </w:t>
            </w:r>
            <w:r>
              <w:rPr>
                <w:sz w:val="20"/>
              </w:rPr>
              <w:t>discs;</w:t>
            </w:r>
          </w:p>
          <w:p>
            <w:pPr>
              <w:pStyle w:val="TableParagraph"/>
              <w:spacing w:line="240" w:lineRule="auto"/>
              <w:ind w:left="271" w:right="5246"/>
              <w:rPr>
                <w:sz w:val="20"/>
              </w:rPr>
            </w:pPr>
            <w:r>
              <w:rPr>
                <w:sz w:val="20"/>
              </w:rPr>
              <w:t>(ab) eccentric wheels; (ac) end pieces;</w:t>
            </w:r>
          </w:p>
          <w:p>
            <w:pPr>
              <w:pStyle w:val="TableParagraph"/>
              <w:spacing w:line="228" w:lineRule="exact" w:before="5"/>
              <w:ind w:left="271" w:right="5769"/>
              <w:rPr>
                <w:sz w:val="20"/>
              </w:rPr>
            </w:pPr>
            <w:r>
              <w:rPr>
                <w:sz w:val="20"/>
              </w:rPr>
              <w:t>(ad) extensions; (ae) feelers;</w:t>
            </w:r>
          </w:p>
        </w:tc>
      </w:tr>
    </w:tbl>
    <w:p>
      <w:pPr>
        <w:spacing w:after="0" w:line="228" w:lineRule="exact"/>
        <w:rPr>
          <w:sz w:val="20"/>
        </w:rPr>
        <w:sectPr>
          <w:pgSz w:w="11910" w:h="16840"/>
          <w:pgMar w:top="1040" w:bottom="280" w:left="1480" w:right="1560"/>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7493"/>
      </w:tblGrid>
      <w:tr>
        <w:trPr>
          <w:trHeight w:val="14260" w:hRule="atLeast"/>
        </w:trPr>
        <w:tc>
          <w:tcPr>
            <w:tcW w:w="1075" w:type="dxa"/>
          </w:tcPr>
          <w:p>
            <w:pPr>
              <w:pStyle w:val="TableParagraph"/>
              <w:spacing w:line="240" w:lineRule="auto"/>
              <w:ind w:left="0"/>
              <w:rPr>
                <w:rFonts w:ascii="Times New Roman"/>
                <w:sz w:val="18"/>
              </w:rPr>
            </w:pPr>
          </w:p>
        </w:tc>
        <w:tc>
          <w:tcPr>
            <w:tcW w:w="7493" w:type="dxa"/>
          </w:tcPr>
          <w:p>
            <w:pPr>
              <w:pStyle w:val="TableParagraph"/>
              <w:spacing w:line="240" w:lineRule="auto"/>
              <w:ind w:left="271" w:right="5769"/>
              <w:rPr>
                <w:sz w:val="20"/>
              </w:rPr>
            </w:pPr>
            <w:r>
              <w:rPr>
                <w:sz w:val="20"/>
              </w:rPr>
              <w:t>(af) finger discs; (ag) flanges; (ah) funnels;</w:t>
            </w:r>
          </w:p>
          <w:p>
            <w:pPr>
              <w:pStyle w:val="TableParagraph"/>
              <w:spacing w:line="240" w:lineRule="auto"/>
              <w:ind w:left="271" w:right="5669"/>
              <w:rPr>
                <w:sz w:val="20"/>
              </w:rPr>
            </w:pPr>
            <w:r>
              <w:rPr>
                <w:sz w:val="20"/>
              </w:rPr>
              <w:t>(ai) guide fittings; (aj) guide rails; (ak) guides;</w:t>
            </w:r>
          </w:p>
          <w:p>
            <w:pPr>
              <w:pStyle w:val="TableParagraph"/>
              <w:ind w:left="271"/>
              <w:rPr>
                <w:sz w:val="20"/>
              </w:rPr>
            </w:pPr>
            <w:r>
              <w:rPr>
                <w:sz w:val="20"/>
              </w:rPr>
              <w:t>(al) guiding blocks;</w:t>
            </w:r>
          </w:p>
          <w:p>
            <w:pPr>
              <w:pStyle w:val="TableParagraph"/>
              <w:spacing w:line="240" w:lineRule="auto"/>
              <w:ind w:left="271" w:right="4334"/>
              <w:rPr>
                <w:sz w:val="20"/>
              </w:rPr>
            </w:pPr>
            <w:r>
              <w:rPr>
                <w:sz w:val="20"/>
              </w:rPr>
              <w:t>(am) guiding/counterhold plates; (an)</w:t>
            </w:r>
            <w:r>
              <w:rPr>
                <w:spacing w:val="-1"/>
                <w:sz w:val="20"/>
              </w:rPr>
              <w:t> </w:t>
            </w:r>
            <w:r>
              <w:rPr>
                <w:sz w:val="20"/>
              </w:rPr>
              <w:t>handles;</w:t>
            </w:r>
          </w:p>
          <w:p>
            <w:pPr>
              <w:pStyle w:val="TableParagraph"/>
              <w:spacing w:line="240" w:lineRule="auto"/>
              <w:ind w:left="271"/>
              <w:rPr>
                <w:sz w:val="20"/>
              </w:rPr>
            </w:pPr>
            <w:r>
              <w:rPr>
                <w:sz w:val="20"/>
              </w:rPr>
              <w:t>(ao)</w:t>
            </w:r>
            <w:r>
              <w:rPr>
                <w:spacing w:val="-6"/>
                <w:sz w:val="20"/>
              </w:rPr>
              <w:t> </w:t>
            </w:r>
            <w:r>
              <w:rPr>
                <w:sz w:val="20"/>
              </w:rPr>
              <w:t>hashers;</w:t>
            </w:r>
          </w:p>
          <w:p>
            <w:pPr>
              <w:pStyle w:val="TableParagraph"/>
              <w:spacing w:line="240" w:lineRule="auto"/>
              <w:ind w:left="271" w:right="5379"/>
              <w:rPr>
                <w:sz w:val="20"/>
              </w:rPr>
            </w:pPr>
            <w:r>
              <w:rPr>
                <w:sz w:val="20"/>
              </w:rPr>
              <w:t>(ap) holders, sleeve; (aq) holders;</w:t>
            </w:r>
          </w:p>
          <w:p>
            <w:pPr>
              <w:pStyle w:val="TableParagraph"/>
              <w:spacing w:line="240" w:lineRule="auto"/>
              <w:ind w:left="271" w:right="5535"/>
              <w:rPr>
                <w:sz w:val="20"/>
              </w:rPr>
            </w:pPr>
            <w:r>
              <w:rPr>
                <w:sz w:val="20"/>
              </w:rPr>
              <w:t>(ar) holding plates; (as) housings;</w:t>
            </w:r>
          </w:p>
          <w:p>
            <w:pPr>
              <w:pStyle w:val="TableParagraph"/>
              <w:spacing w:line="240" w:lineRule="auto"/>
              <w:ind w:left="271" w:right="5624"/>
              <w:rPr>
                <w:sz w:val="20"/>
              </w:rPr>
            </w:pPr>
            <w:r>
              <w:rPr>
                <w:sz w:val="20"/>
              </w:rPr>
              <w:t>(at) index wheels; (au) inner rings;</w:t>
            </w:r>
          </w:p>
          <w:p>
            <w:pPr>
              <w:pStyle w:val="TableParagraph"/>
              <w:spacing w:line="240" w:lineRule="auto"/>
              <w:ind w:left="271" w:right="4679"/>
              <w:rPr>
                <w:sz w:val="20"/>
              </w:rPr>
            </w:pPr>
            <w:r>
              <w:rPr>
                <w:sz w:val="20"/>
              </w:rPr>
              <w:t>(av) intestine release rollers; (aw) joints;</w:t>
            </w:r>
          </w:p>
          <w:p>
            <w:pPr>
              <w:pStyle w:val="TableParagraph"/>
              <w:spacing w:line="240" w:lineRule="auto"/>
              <w:ind w:left="271" w:right="5602"/>
              <w:rPr>
                <w:sz w:val="20"/>
              </w:rPr>
            </w:pPr>
            <w:r>
              <w:rPr>
                <w:sz w:val="20"/>
              </w:rPr>
              <w:t>(ax) knife holders; (ay) knives;</w:t>
            </w:r>
          </w:p>
          <w:p>
            <w:pPr>
              <w:pStyle w:val="TableParagraph"/>
              <w:spacing w:line="240" w:lineRule="auto"/>
              <w:ind w:left="270" w:right="5525"/>
              <w:rPr>
                <w:sz w:val="20"/>
              </w:rPr>
            </w:pPr>
            <w:r>
              <w:rPr>
                <w:sz w:val="20"/>
              </w:rPr>
              <w:t>(az) leg spreaders; (ba) lifters;</w:t>
            </w:r>
          </w:p>
          <w:p>
            <w:pPr>
              <w:pStyle w:val="TableParagraph"/>
              <w:ind w:left="270"/>
              <w:rPr>
                <w:sz w:val="20"/>
              </w:rPr>
            </w:pPr>
            <w:r>
              <w:rPr>
                <w:sz w:val="20"/>
              </w:rPr>
              <w:t>(bb) links;</w:t>
            </w:r>
          </w:p>
          <w:p>
            <w:pPr>
              <w:pStyle w:val="TableParagraph"/>
              <w:spacing w:line="240" w:lineRule="auto"/>
              <w:ind w:left="270" w:right="5414"/>
              <w:rPr>
                <w:sz w:val="20"/>
              </w:rPr>
            </w:pPr>
            <w:r>
              <w:rPr>
                <w:sz w:val="20"/>
              </w:rPr>
              <w:t>(bc) motor brackets; (bd) packing horn; (be) peeler rollers; (bf) peelers;</w:t>
            </w:r>
          </w:p>
          <w:p>
            <w:pPr>
              <w:pStyle w:val="TableParagraph"/>
              <w:spacing w:line="240" w:lineRule="auto"/>
              <w:ind w:left="270"/>
              <w:rPr>
                <w:sz w:val="20"/>
              </w:rPr>
            </w:pPr>
            <w:r>
              <w:rPr>
                <w:sz w:val="20"/>
              </w:rPr>
              <w:t>(bg) pipes;</w:t>
            </w:r>
          </w:p>
          <w:p>
            <w:pPr>
              <w:pStyle w:val="TableParagraph"/>
              <w:spacing w:line="240" w:lineRule="auto"/>
              <w:ind w:left="270" w:right="5481"/>
              <w:rPr>
                <w:sz w:val="20"/>
              </w:rPr>
            </w:pPr>
            <w:r>
              <w:rPr>
                <w:sz w:val="20"/>
              </w:rPr>
              <w:t>(bh) plastic wheels; (bi) rails;</w:t>
            </w:r>
          </w:p>
          <w:p>
            <w:pPr>
              <w:pStyle w:val="TableParagraph"/>
              <w:spacing w:line="240" w:lineRule="auto"/>
              <w:ind w:left="270" w:right="5970"/>
              <w:rPr>
                <w:sz w:val="20"/>
              </w:rPr>
            </w:pPr>
            <w:r>
              <w:rPr>
                <w:sz w:val="20"/>
              </w:rPr>
              <w:t>(bj) releasers; (bk) rings;</w:t>
            </w:r>
          </w:p>
          <w:p>
            <w:pPr>
              <w:pStyle w:val="TableParagraph"/>
              <w:spacing w:line="240" w:lineRule="auto"/>
              <w:ind w:left="270" w:right="5537"/>
              <w:rPr>
                <w:sz w:val="20"/>
              </w:rPr>
            </w:pPr>
            <w:r>
              <w:rPr>
                <w:sz w:val="20"/>
              </w:rPr>
              <w:t>(bl) rollerheads; (bm) rollers, spiral; (bn) rollers;</w:t>
            </w:r>
          </w:p>
          <w:p>
            <w:pPr>
              <w:pStyle w:val="TableParagraph"/>
              <w:ind w:left="270"/>
              <w:rPr>
                <w:sz w:val="20"/>
              </w:rPr>
            </w:pPr>
            <w:r>
              <w:rPr>
                <w:sz w:val="20"/>
              </w:rPr>
              <w:t>(bo)</w:t>
            </w:r>
            <w:r>
              <w:rPr>
                <w:spacing w:val="-8"/>
                <w:sz w:val="20"/>
              </w:rPr>
              <w:t> </w:t>
            </w:r>
            <w:r>
              <w:rPr>
                <w:sz w:val="20"/>
              </w:rPr>
              <w:t>saddles;</w:t>
            </w:r>
          </w:p>
          <w:p>
            <w:pPr>
              <w:pStyle w:val="TableParagraph"/>
              <w:spacing w:line="240" w:lineRule="auto"/>
              <w:ind w:left="270" w:right="5470"/>
              <w:rPr>
                <w:sz w:val="20"/>
              </w:rPr>
            </w:pPr>
            <w:r>
              <w:rPr>
                <w:sz w:val="20"/>
              </w:rPr>
              <w:t>(bp) scraper plates; (bq)</w:t>
            </w:r>
            <w:r>
              <w:rPr>
                <w:spacing w:val="-1"/>
                <w:sz w:val="20"/>
              </w:rPr>
              <w:t> </w:t>
            </w:r>
            <w:r>
              <w:rPr>
                <w:sz w:val="20"/>
              </w:rPr>
              <w:t>screens;</w:t>
            </w:r>
          </w:p>
          <w:p>
            <w:pPr>
              <w:pStyle w:val="TableParagraph"/>
              <w:spacing w:line="240" w:lineRule="auto" w:before="1"/>
              <w:ind w:left="270" w:right="5292"/>
              <w:rPr>
                <w:sz w:val="20"/>
              </w:rPr>
            </w:pPr>
            <w:r>
              <w:rPr>
                <w:sz w:val="20"/>
              </w:rPr>
              <w:t>(br) segment holders; (bs) segments;</w:t>
            </w:r>
          </w:p>
          <w:p>
            <w:pPr>
              <w:pStyle w:val="TableParagraph"/>
              <w:spacing w:line="240" w:lineRule="auto"/>
              <w:ind w:left="270" w:right="5781"/>
              <w:rPr>
                <w:sz w:val="20"/>
              </w:rPr>
            </w:pPr>
            <w:r>
              <w:rPr>
                <w:sz w:val="20"/>
              </w:rPr>
              <w:t>(bt) sensors; (bu) separators; (bv) silencers;</w:t>
            </w:r>
          </w:p>
          <w:p>
            <w:pPr>
              <w:pStyle w:val="TableParagraph"/>
              <w:spacing w:line="240" w:lineRule="auto"/>
              <w:ind w:left="270" w:right="5425"/>
              <w:rPr>
                <w:sz w:val="20"/>
              </w:rPr>
            </w:pPr>
            <w:r>
              <w:rPr>
                <w:sz w:val="20"/>
              </w:rPr>
              <w:t>(bw) sliding spoons; (bx) stabilizers;</w:t>
            </w:r>
          </w:p>
          <w:p>
            <w:pPr>
              <w:pStyle w:val="TableParagraph"/>
              <w:spacing w:before="1"/>
              <w:ind w:left="270"/>
              <w:rPr>
                <w:sz w:val="20"/>
              </w:rPr>
            </w:pPr>
            <w:r>
              <w:rPr>
                <w:sz w:val="20"/>
              </w:rPr>
              <w:t>(by) stays;</w:t>
            </w:r>
          </w:p>
          <w:p>
            <w:pPr>
              <w:pStyle w:val="TableParagraph"/>
              <w:ind w:left="270"/>
              <w:rPr>
                <w:sz w:val="20"/>
              </w:rPr>
            </w:pPr>
            <w:r>
              <w:rPr>
                <w:sz w:val="20"/>
              </w:rPr>
              <w:t>(bz) suction handles;</w:t>
            </w:r>
          </w:p>
          <w:p>
            <w:pPr>
              <w:pStyle w:val="TableParagraph"/>
              <w:spacing w:line="240" w:lineRule="auto"/>
              <w:ind w:left="270" w:right="4569"/>
              <w:rPr>
                <w:sz w:val="20"/>
              </w:rPr>
            </w:pPr>
            <w:r>
              <w:rPr>
                <w:sz w:val="20"/>
              </w:rPr>
              <w:t>(ca) suspension splice plates; (cb) tensioners;</w:t>
            </w:r>
          </w:p>
          <w:p>
            <w:pPr>
              <w:pStyle w:val="TableParagraph"/>
              <w:spacing w:line="240" w:lineRule="auto" w:before="1"/>
              <w:ind w:left="270" w:right="5870"/>
              <w:rPr>
                <w:sz w:val="20"/>
              </w:rPr>
            </w:pPr>
            <w:r>
              <w:rPr>
                <w:sz w:val="20"/>
              </w:rPr>
              <w:t>(cc) tighteners; (cd) timers;</w:t>
            </w:r>
          </w:p>
          <w:p>
            <w:pPr>
              <w:pStyle w:val="TableParagraph"/>
              <w:spacing w:line="240" w:lineRule="auto" w:before="1"/>
              <w:ind w:left="270" w:right="5492"/>
              <w:rPr>
                <w:sz w:val="20"/>
              </w:rPr>
            </w:pPr>
            <w:r>
              <w:rPr>
                <w:sz w:val="20"/>
              </w:rPr>
              <w:t>(ce) toothed wheel; (cf) tracks;</w:t>
            </w:r>
          </w:p>
          <w:p>
            <w:pPr>
              <w:pStyle w:val="TableParagraph"/>
              <w:spacing w:line="240" w:lineRule="auto"/>
              <w:ind w:left="270" w:right="5503"/>
              <w:rPr>
                <w:sz w:val="20"/>
              </w:rPr>
            </w:pPr>
            <w:r>
              <w:rPr>
                <w:sz w:val="20"/>
              </w:rPr>
              <w:t>(cg) unit probes; (ch) vacuum pipes; (ci) vacuum tubes;</w:t>
            </w:r>
          </w:p>
          <w:p>
            <w:pPr>
              <w:pStyle w:val="TableParagraph"/>
              <w:spacing w:line="240" w:lineRule="auto"/>
              <w:ind w:left="270" w:right="4758"/>
              <w:rPr>
                <w:sz w:val="20"/>
              </w:rPr>
            </w:pPr>
            <w:r>
              <w:rPr>
                <w:sz w:val="20"/>
              </w:rPr>
              <w:t>(cj) water distribution pipes; (ck) water levellers;</w:t>
            </w:r>
          </w:p>
          <w:p>
            <w:pPr>
              <w:pStyle w:val="TableParagraph"/>
              <w:ind w:left="270"/>
              <w:rPr>
                <w:sz w:val="20"/>
              </w:rPr>
            </w:pPr>
            <w:r>
              <w:rPr>
                <w:sz w:val="20"/>
              </w:rPr>
              <w:t>(cl) wheels;</w:t>
            </w:r>
          </w:p>
          <w:p>
            <w:pPr>
              <w:pStyle w:val="TableParagraph"/>
              <w:spacing w:line="240" w:lineRule="auto" w:before="1"/>
              <w:ind w:left="270"/>
              <w:rPr>
                <w:sz w:val="20"/>
              </w:rPr>
            </w:pPr>
            <w:r>
              <w:rPr>
                <w:sz w:val="20"/>
              </w:rPr>
              <w:t>(cm) wing cutters;</w:t>
            </w:r>
          </w:p>
          <w:p>
            <w:pPr>
              <w:pStyle w:val="TableParagraph"/>
              <w:spacing w:line="226" w:lineRule="exact" w:before="7"/>
              <w:ind w:left="271" w:right="5614" w:hanging="1"/>
              <w:rPr>
                <w:sz w:val="20"/>
              </w:rPr>
            </w:pPr>
            <w:r>
              <w:rPr>
                <w:sz w:val="20"/>
              </w:rPr>
              <w:t>(cn) wing holders; (co) Y-pieces</w:t>
            </w:r>
          </w:p>
        </w:tc>
      </w:tr>
    </w:tbl>
    <w:p>
      <w:pPr>
        <w:spacing w:after="0" w:line="226" w:lineRule="exact"/>
        <w:rPr>
          <w:sz w:val="20"/>
        </w:rPr>
        <w:sectPr>
          <w:pgSz w:w="11910" w:h="16840"/>
          <w:pgMar w:top="1120" w:bottom="280" w:left="1480" w:right="1560"/>
        </w:sectPr>
      </w:pPr>
    </w:p>
    <w:p>
      <w:pPr>
        <w:pStyle w:val="BodyText"/>
        <w:spacing w:before="4"/>
        <w:rPr>
          <w:b/>
          <w:sz w:val="17"/>
        </w:rPr>
      </w:pPr>
    </w:p>
    <w:sectPr>
      <w:pgSz w:w="11910" w:h="16840"/>
      <w:pgMar w:top="1580" w:bottom="280" w:left="14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Letter"/>
      <w:lvlText w:val="(%1)"/>
      <w:lvlJc w:val="left"/>
      <w:pPr>
        <w:ind w:left="626" w:hanging="300"/>
        <w:jc w:val="left"/>
      </w:pPr>
      <w:rPr>
        <w:rFonts w:hint="default" w:ascii="Arial" w:hAnsi="Arial" w:eastAsia="Arial" w:cs="Arial"/>
        <w:spacing w:val="-1"/>
        <w:w w:val="99"/>
        <w:sz w:val="20"/>
        <w:szCs w:val="20"/>
      </w:rPr>
    </w:lvl>
    <w:lvl w:ilvl="1">
      <w:start w:val="0"/>
      <w:numFmt w:val="bullet"/>
      <w:lvlText w:val="•"/>
      <w:lvlJc w:val="left"/>
      <w:pPr>
        <w:ind w:left="1306" w:hanging="300"/>
      </w:pPr>
      <w:rPr>
        <w:rFonts w:hint="default"/>
      </w:rPr>
    </w:lvl>
    <w:lvl w:ilvl="2">
      <w:start w:val="0"/>
      <w:numFmt w:val="bullet"/>
      <w:lvlText w:val="•"/>
      <w:lvlJc w:val="left"/>
      <w:pPr>
        <w:ind w:left="1992" w:hanging="300"/>
      </w:pPr>
      <w:rPr>
        <w:rFonts w:hint="default"/>
      </w:rPr>
    </w:lvl>
    <w:lvl w:ilvl="3">
      <w:start w:val="0"/>
      <w:numFmt w:val="bullet"/>
      <w:lvlText w:val="•"/>
      <w:lvlJc w:val="left"/>
      <w:pPr>
        <w:ind w:left="2678" w:hanging="300"/>
      </w:pPr>
      <w:rPr>
        <w:rFonts w:hint="default"/>
      </w:rPr>
    </w:lvl>
    <w:lvl w:ilvl="4">
      <w:start w:val="0"/>
      <w:numFmt w:val="bullet"/>
      <w:lvlText w:val="•"/>
      <w:lvlJc w:val="left"/>
      <w:pPr>
        <w:ind w:left="3365" w:hanging="300"/>
      </w:pPr>
      <w:rPr>
        <w:rFonts w:hint="default"/>
      </w:rPr>
    </w:lvl>
    <w:lvl w:ilvl="5">
      <w:start w:val="0"/>
      <w:numFmt w:val="bullet"/>
      <w:lvlText w:val="•"/>
      <w:lvlJc w:val="left"/>
      <w:pPr>
        <w:ind w:left="4051" w:hanging="300"/>
      </w:pPr>
      <w:rPr>
        <w:rFonts w:hint="default"/>
      </w:rPr>
    </w:lvl>
    <w:lvl w:ilvl="6">
      <w:start w:val="0"/>
      <w:numFmt w:val="bullet"/>
      <w:lvlText w:val="•"/>
      <w:lvlJc w:val="left"/>
      <w:pPr>
        <w:ind w:left="4737" w:hanging="300"/>
      </w:pPr>
      <w:rPr>
        <w:rFonts w:hint="default"/>
      </w:rPr>
    </w:lvl>
    <w:lvl w:ilvl="7">
      <w:start w:val="0"/>
      <w:numFmt w:val="bullet"/>
      <w:lvlText w:val="•"/>
      <w:lvlJc w:val="left"/>
      <w:pPr>
        <w:ind w:left="5424" w:hanging="300"/>
      </w:pPr>
      <w:rPr>
        <w:rFonts w:hint="default"/>
      </w:rPr>
    </w:lvl>
    <w:lvl w:ilvl="8">
      <w:start w:val="0"/>
      <w:numFmt w:val="bullet"/>
      <w:lvlText w:val="•"/>
      <w:lvlJc w:val="left"/>
      <w:pPr>
        <w:ind w:left="6110" w:hanging="300"/>
      </w:pPr>
      <w:rPr>
        <w:rFonts w:hint="default"/>
      </w:rPr>
    </w:lvl>
  </w:abstractNum>
  <w:abstractNum w:abstractNumId="3">
    <w:multiLevelType w:val="hybridMultilevel"/>
    <w:lvl w:ilvl="0">
      <w:start w:val="1"/>
      <w:numFmt w:val="lowerLetter"/>
      <w:lvlText w:val="(%1)"/>
      <w:lvlJc w:val="left"/>
      <w:pPr>
        <w:ind w:left="571" w:hanging="300"/>
        <w:jc w:val="left"/>
      </w:pPr>
      <w:rPr>
        <w:rFonts w:hint="default" w:ascii="Arial" w:hAnsi="Arial" w:eastAsia="Arial" w:cs="Arial"/>
        <w:spacing w:val="-1"/>
        <w:w w:val="99"/>
        <w:sz w:val="20"/>
        <w:szCs w:val="20"/>
      </w:rPr>
    </w:lvl>
    <w:lvl w:ilvl="1">
      <w:start w:val="0"/>
      <w:numFmt w:val="bullet"/>
      <w:lvlText w:val="•"/>
      <w:lvlJc w:val="left"/>
      <w:pPr>
        <w:ind w:left="1270" w:hanging="300"/>
      </w:pPr>
      <w:rPr>
        <w:rFonts w:hint="default"/>
      </w:rPr>
    </w:lvl>
    <w:lvl w:ilvl="2">
      <w:start w:val="0"/>
      <w:numFmt w:val="bullet"/>
      <w:lvlText w:val="•"/>
      <w:lvlJc w:val="left"/>
      <w:pPr>
        <w:ind w:left="1960" w:hanging="300"/>
      </w:pPr>
      <w:rPr>
        <w:rFonts w:hint="default"/>
      </w:rPr>
    </w:lvl>
    <w:lvl w:ilvl="3">
      <w:start w:val="0"/>
      <w:numFmt w:val="bullet"/>
      <w:lvlText w:val="•"/>
      <w:lvlJc w:val="left"/>
      <w:pPr>
        <w:ind w:left="2650" w:hanging="300"/>
      </w:pPr>
      <w:rPr>
        <w:rFonts w:hint="default"/>
      </w:rPr>
    </w:lvl>
    <w:lvl w:ilvl="4">
      <w:start w:val="0"/>
      <w:numFmt w:val="bullet"/>
      <w:lvlText w:val="•"/>
      <w:lvlJc w:val="left"/>
      <w:pPr>
        <w:ind w:left="3341" w:hanging="300"/>
      </w:pPr>
      <w:rPr>
        <w:rFonts w:hint="default"/>
      </w:rPr>
    </w:lvl>
    <w:lvl w:ilvl="5">
      <w:start w:val="0"/>
      <w:numFmt w:val="bullet"/>
      <w:lvlText w:val="•"/>
      <w:lvlJc w:val="left"/>
      <w:pPr>
        <w:ind w:left="4031" w:hanging="300"/>
      </w:pPr>
      <w:rPr>
        <w:rFonts w:hint="default"/>
      </w:rPr>
    </w:lvl>
    <w:lvl w:ilvl="6">
      <w:start w:val="0"/>
      <w:numFmt w:val="bullet"/>
      <w:lvlText w:val="•"/>
      <w:lvlJc w:val="left"/>
      <w:pPr>
        <w:ind w:left="4721" w:hanging="300"/>
      </w:pPr>
      <w:rPr>
        <w:rFonts w:hint="default"/>
      </w:rPr>
    </w:lvl>
    <w:lvl w:ilvl="7">
      <w:start w:val="0"/>
      <w:numFmt w:val="bullet"/>
      <w:lvlText w:val="•"/>
      <w:lvlJc w:val="left"/>
      <w:pPr>
        <w:ind w:left="5412" w:hanging="300"/>
      </w:pPr>
      <w:rPr>
        <w:rFonts w:hint="default"/>
      </w:rPr>
    </w:lvl>
    <w:lvl w:ilvl="8">
      <w:start w:val="0"/>
      <w:numFmt w:val="bullet"/>
      <w:lvlText w:val="•"/>
      <w:lvlJc w:val="left"/>
      <w:pPr>
        <w:ind w:left="6102" w:hanging="300"/>
      </w:pPr>
      <w:rPr>
        <w:rFonts w:hint="default"/>
      </w:rPr>
    </w:lvl>
  </w:abstractNum>
  <w:abstractNum w:abstractNumId="2">
    <w:multiLevelType w:val="hybridMultilevel"/>
    <w:lvl w:ilvl="0">
      <w:start w:val="1"/>
      <w:numFmt w:val="lowerLetter"/>
      <w:lvlText w:val="(%1)"/>
      <w:lvlJc w:val="left"/>
      <w:pPr>
        <w:ind w:left="571" w:hanging="300"/>
        <w:jc w:val="left"/>
      </w:pPr>
      <w:rPr>
        <w:rFonts w:hint="default" w:ascii="Arial" w:hAnsi="Arial" w:eastAsia="Arial" w:cs="Arial"/>
        <w:spacing w:val="-1"/>
        <w:w w:val="99"/>
        <w:sz w:val="20"/>
        <w:szCs w:val="20"/>
      </w:rPr>
    </w:lvl>
    <w:lvl w:ilvl="1">
      <w:start w:val="0"/>
      <w:numFmt w:val="bullet"/>
      <w:lvlText w:val="•"/>
      <w:lvlJc w:val="left"/>
      <w:pPr>
        <w:ind w:left="1270" w:hanging="300"/>
      </w:pPr>
      <w:rPr>
        <w:rFonts w:hint="default"/>
      </w:rPr>
    </w:lvl>
    <w:lvl w:ilvl="2">
      <w:start w:val="0"/>
      <w:numFmt w:val="bullet"/>
      <w:lvlText w:val="•"/>
      <w:lvlJc w:val="left"/>
      <w:pPr>
        <w:ind w:left="1960" w:hanging="300"/>
      </w:pPr>
      <w:rPr>
        <w:rFonts w:hint="default"/>
      </w:rPr>
    </w:lvl>
    <w:lvl w:ilvl="3">
      <w:start w:val="0"/>
      <w:numFmt w:val="bullet"/>
      <w:lvlText w:val="•"/>
      <w:lvlJc w:val="left"/>
      <w:pPr>
        <w:ind w:left="2650" w:hanging="300"/>
      </w:pPr>
      <w:rPr>
        <w:rFonts w:hint="default"/>
      </w:rPr>
    </w:lvl>
    <w:lvl w:ilvl="4">
      <w:start w:val="0"/>
      <w:numFmt w:val="bullet"/>
      <w:lvlText w:val="•"/>
      <w:lvlJc w:val="left"/>
      <w:pPr>
        <w:ind w:left="3341" w:hanging="300"/>
      </w:pPr>
      <w:rPr>
        <w:rFonts w:hint="default"/>
      </w:rPr>
    </w:lvl>
    <w:lvl w:ilvl="5">
      <w:start w:val="0"/>
      <w:numFmt w:val="bullet"/>
      <w:lvlText w:val="•"/>
      <w:lvlJc w:val="left"/>
      <w:pPr>
        <w:ind w:left="4031" w:hanging="300"/>
      </w:pPr>
      <w:rPr>
        <w:rFonts w:hint="default"/>
      </w:rPr>
    </w:lvl>
    <w:lvl w:ilvl="6">
      <w:start w:val="0"/>
      <w:numFmt w:val="bullet"/>
      <w:lvlText w:val="•"/>
      <w:lvlJc w:val="left"/>
      <w:pPr>
        <w:ind w:left="4721" w:hanging="300"/>
      </w:pPr>
      <w:rPr>
        <w:rFonts w:hint="default"/>
      </w:rPr>
    </w:lvl>
    <w:lvl w:ilvl="7">
      <w:start w:val="0"/>
      <w:numFmt w:val="bullet"/>
      <w:lvlText w:val="•"/>
      <w:lvlJc w:val="left"/>
      <w:pPr>
        <w:ind w:left="5412" w:hanging="300"/>
      </w:pPr>
      <w:rPr>
        <w:rFonts w:hint="default"/>
      </w:rPr>
    </w:lvl>
    <w:lvl w:ilvl="8">
      <w:start w:val="0"/>
      <w:numFmt w:val="bullet"/>
      <w:lvlText w:val="•"/>
      <w:lvlJc w:val="left"/>
      <w:pPr>
        <w:ind w:left="6102" w:hanging="300"/>
      </w:pPr>
      <w:rPr>
        <w:rFonts w:hint="default"/>
      </w:rPr>
    </w:lvl>
  </w:abstractNum>
  <w:abstractNum w:abstractNumId="1">
    <w:multiLevelType w:val="hybridMultilevel"/>
    <w:lvl w:ilvl="0">
      <w:start w:val="1"/>
      <w:numFmt w:val="lowerLetter"/>
      <w:lvlText w:val="(%1)"/>
      <w:lvlJc w:val="left"/>
      <w:pPr>
        <w:ind w:left="571" w:hanging="300"/>
        <w:jc w:val="left"/>
      </w:pPr>
      <w:rPr>
        <w:rFonts w:hint="default" w:ascii="Arial" w:hAnsi="Arial" w:eastAsia="Arial" w:cs="Arial"/>
        <w:spacing w:val="-1"/>
        <w:w w:val="99"/>
        <w:sz w:val="20"/>
        <w:szCs w:val="20"/>
      </w:rPr>
    </w:lvl>
    <w:lvl w:ilvl="1">
      <w:start w:val="0"/>
      <w:numFmt w:val="bullet"/>
      <w:lvlText w:val="•"/>
      <w:lvlJc w:val="left"/>
      <w:pPr>
        <w:ind w:left="1270" w:hanging="300"/>
      </w:pPr>
      <w:rPr>
        <w:rFonts w:hint="default"/>
      </w:rPr>
    </w:lvl>
    <w:lvl w:ilvl="2">
      <w:start w:val="0"/>
      <w:numFmt w:val="bullet"/>
      <w:lvlText w:val="•"/>
      <w:lvlJc w:val="left"/>
      <w:pPr>
        <w:ind w:left="1960" w:hanging="300"/>
      </w:pPr>
      <w:rPr>
        <w:rFonts w:hint="default"/>
      </w:rPr>
    </w:lvl>
    <w:lvl w:ilvl="3">
      <w:start w:val="0"/>
      <w:numFmt w:val="bullet"/>
      <w:lvlText w:val="•"/>
      <w:lvlJc w:val="left"/>
      <w:pPr>
        <w:ind w:left="2650" w:hanging="300"/>
      </w:pPr>
      <w:rPr>
        <w:rFonts w:hint="default"/>
      </w:rPr>
    </w:lvl>
    <w:lvl w:ilvl="4">
      <w:start w:val="0"/>
      <w:numFmt w:val="bullet"/>
      <w:lvlText w:val="•"/>
      <w:lvlJc w:val="left"/>
      <w:pPr>
        <w:ind w:left="3341" w:hanging="300"/>
      </w:pPr>
      <w:rPr>
        <w:rFonts w:hint="default"/>
      </w:rPr>
    </w:lvl>
    <w:lvl w:ilvl="5">
      <w:start w:val="0"/>
      <w:numFmt w:val="bullet"/>
      <w:lvlText w:val="•"/>
      <w:lvlJc w:val="left"/>
      <w:pPr>
        <w:ind w:left="4031" w:hanging="300"/>
      </w:pPr>
      <w:rPr>
        <w:rFonts w:hint="default"/>
      </w:rPr>
    </w:lvl>
    <w:lvl w:ilvl="6">
      <w:start w:val="0"/>
      <w:numFmt w:val="bullet"/>
      <w:lvlText w:val="•"/>
      <w:lvlJc w:val="left"/>
      <w:pPr>
        <w:ind w:left="4721" w:hanging="300"/>
      </w:pPr>
      <w:rPr>
        <w:rFonts w:hint="default"/>
      </w:rPr>
    </w:lvl>
    <w:lvl w:ilvl="7">
      <w:start w:val="0"/>
      <w:numFmt w:val="bullet"/>
      <w:lvlText w:val="•"/>
      <w:lvlJc w:val="left"/>
      <w:pPr>
        <w:ind w:left="5412" w:hanging="300"/>
      </w:pPr>
      <w:rPr>
        <w:rFonts w:hint="default"/>
      </w:rPr>
    </w:lvl>
    <w:lvl w:ilvl="8">
      <w:start w:val="0"/>
      <w:numFmt w:val="bullet"/>
      <w:lvlText w:val="•"/>
      <w:lvlJc w:val="left"/>
      <w:pPr>
        <w:ind w:left="6102" w:hanging="300"/>
      </w:pPr>
      <w:rPr>
        <w:rFonts w:hint="default"/>
      </w:rPr>
    </w:lvl>
  </w:abstractNum>
  <w:abstractNum w:abstractNumId="0">
    <w:multiLevelType w:val="hybridMultilevel"/>
    <w:lvl w:ilvl="0">
      <w:start w:val="0"/>
      <w:numFmt w:val="bullet"/>
      <w:lvlText w:val="•"/>
      <w:lvlJc w:val="left"/>
      <w:pPr>
        <w:ind w:left="941" w:hanging="360"/>
      </w:pPr>
      <w:rPr>
        <w:rFonts w:hint="default" w:ascii="Arial" w:hAnsi="Arial" w:eastAsia="Arial" w:cs="Arial"/>
        <w:w w:val="130"/>
        <w:sz w:val="20"/>
        <w:szCs w:val="20"/>
      </w:rPr>
    </w:lvl>
    <w:lvl w:ilvl="1">
      <w:start w:val="0"/>
      <w:numFmt w:val="bullet"/>
      <w:lvlText w:val="•"/>
      <w:lvlJc w:val="left"/>
      <w:pPr>
        <w:ind w:left="1732" w:hanging="360"/>
      </w:pPr>
      <w:rPr>
        <w:rFonts w:hint="default"/>
      </w:rPr>
    </w:lvl>
    <w:lvl w:ilvl="2">
      <w:start w:val="0"/>
      <w:numFmt w:val="bullet"/>
      <w:lvlText w:val="•"/>
      <w:lvlJc w:val="left"/>
      <w:pPr>
        <w:ind w:left="2525" w:hanging="360"/>
      </w:pPr>
      <w:rPr>
        <w:rFonts w:hint="default"/>
      </w:rPr>
    </w:lvl>
    <w:lvl w:ilvl="3">
      <w:start w:val="0"/>
      <w:numFmt w:val="bullet"/>
      <w:lvlText w:val="•"/>
      <w:lvlJc w:val="left"/>
      <w:pPr>
        <w:ind w:left="3317" w:hanging="360"/>
      </w:pPr>
      <w:rPr>
        <w:rFonts w:hint="default"/>
      </w:rPr>
    </w:lvl>
    <w:lvl w:ilvl="4">
      <w:start w:val="0"/>
      <w:numFmt w:val="bullet"/>
      <w:lvlText w:val="•"/>
      <w:lvlJc w:val="left"/>
      <w:pPr>
        <w:ind w:left="4110" w:hanging="360"/>
      </w:pPr>
      <w:rPr>
        <w:rFonts w:hint="default"/>
      </w:rPr>
    </w:lvl>
    <w:lvl w:ilvl="5">
      <w:start w:val="0"/>
      <w:numFmt w:val="bullet"/>
      <w:lvlText w:val="•"/>
      <w:lvlJc w:val="left"/>
      <w:pPr>
        <w:ind w:left="4903" w:hanging="360"/>
      </w:pPr>
      <w:rPr>
        <w:rFonts w:hint="default"/>
      </w:rPr>
    </w:lvl>
    <w:lvl w:ilvl="6">
      <w:start w:val="0"/>
      <w:numFmt w:val="bullet"/>
      <w:lvlText w:val="•"/>
      <w:lvlJc w:val="left"/>
      <w:pPr>
        <w:ind w:left="5695" w:hanging="360"/>
      </w:pPr>
      <w:rPr>
        <w:rFonts w:hint="default"/>
      </w:rPr>
    </w:lvl>
    <w:lvl w:ilvl="7">
      <w:start w:val="0"/>
      <w:numFmt w:val="bullet"/>
      <w:lvlText w:val="•"/>
      <w:lvlJc w:val="left"/>
      <w:pPr>
        <w:ind w:left="6488" w:hanging="360"/>
      </w:pPr>
      <w:rPr>
        <w:rFonts w:hint="default"/>
      </w:rPr>
    </w:lvl>
    <w:lvl w:ilvl="8">
      <w:start w:val="0"/>
      <w:numFmt w:val="bullet"/>
      <w:lvlText w:val="•"/>
      <w:lvlJc w:val="left"/>
      <w:pPr>
        <w:ind w:left="7281" w:hanging="36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21"/>
      <w:outlineLvl w:val="1"/>
    </w:pPr>
    <w:rPr>
      <w:rFonts w:ascii="Arial" w:hAnsi="Arial" w:eastAsia="Arial" w:cs="Arial"/>
      <w:b/>
      <w:bCs/>
      <w:sz w:val="20"/>
      <w:szCs w:val="20"/>
    </w:rPr>
  </w:style>
  <w:style w:styleId="Title" w:type="paragraph">
    <w:name w:val="Title"/>
    <w:basedOn w:val="Normal"/>
    <w:uiPriority w:val="1"/>
    <w:qFormat/>
    <w:pPr>
      <w:spacing w:before="91"/>
      <w:ind w:left="3677" w:right="218" w:hanging="3368"/>
    </w:pPr>
    <w:rPr>
      <w:rFonts w:ascii="Arial" w:hAnsi="Arial" w:eastAsia="Arial" w:cs="Arial"/>
      <w:b/>
      <w:bCs/>
      <w:sz w:val="28"/>
      <w:szCs w:val="28"/>
    </w:rPr>
  </w:style>
  <w:style w:styleId="ListParagraph" w:type="paragraph">
    <w:name w:val="List Paragraph"/>
    <w:basedOn w:val="Normal"/>
    <w:uiPriority w:val="1"/>
    <w:qFormat/>
    <w:pPr>
      <w:ind w:left="941" w:right="161" w:hanging="360"/>
    </w:pPr>
    <w:rPr>
      <w:rFonts w:ascii="Arial" w:hAnsi="Arial" w:eastAsia="Arial" w:cs="Arial"/>
    </w:rPr>
  </w:style>
  <w:style w:styleId="TableParagraph" w:type="paragraph">
    <w:name w:val="Table Paragraph"/>
    <w:basedOn w:val="Normal"/>
    <w:uiPriority w:val="1"/>
    <w:qFormat/>
    <w:pPr>
      <w:spacing w:line="229" w:lineRule="exact"/>
      <w:ind w:left="107"/>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ag.gov.au/www/agd/agd.nsf/Page/Administrativelaw_BackgroundtotheLegislativeInstrumentsAct2003" TargetMode="External"/><Relationship Id="rId7" Type="http://schemas.openxmlformats.org/officeDocument/2006/relationships/hyperlink" Target="http://www.customs.gov.au/site/page4402.asp" TargetMode="External"/><Relationship Id="rId8" Type="http://schemas.openxmlformats.org/officeDocument/2006/relationships/hyperlink" Target="mailto:tarcon@customs.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2020-12-09T22:15:33Z</dcterms:created>
  <dcterms:modified xsi:type="dcterms:W3CDTF">2020-12-09T22:15:33Z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2018-09-20T00:00:00Z</vt:filetime>
  </property>
  <property fmtid="{D5CDD505-2E9C-101B-9397-08002B2CF9AE}" pid="3" name="Creator">
    <vt:lpwstr>Acrobat PDFMaker 15 for Word</vt:lpwstr>
  </property>
  <property fmtid="{D5CDD505-2E9C-101B-9397-08002B2CF9AE}" pid="4" name="LastSaved">
    <vt:filetime>2020-12-09T00:00:00Z</vt:filetime>
  </property>
</Properties>
</file>