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Heading1"/>
        <w:ind w:right="1605"/>
      </w:pPr>
      <w:r>
        <w:rPr/>
        <w:t>AUSTRALIAN CUSTOMS AND BORDER PROTECTION NOTICE</w:t>
      </w:r>
    </w:p>
    <w:p>
      <w:pPr>
        <w:spacing w:line="329" w:lineRule="exact" w:before="0" w:after="17"/>
        <w:ind w:left="1591" w:right="1602" w:firstLine="0"/>
        <w:jc w:val="center"/>
        <w:rPr>
          <w:b/>
          <w:sz w:val="28"/>
        </w:rPr>
      </w:pPr>
      <w:r>
        <w:rPr>
          <w:b/>
          <w:sz w:val="28"/>
        </w:rPr>
        <w:t>NO. 2011/10</w:t>
      </w:r>
    </w:p>
    <w:p>
      <w:pPr>
        <w:pStyle w:val="BodyText"/>
        <w:spacing w:line="20" w:lineRule="exact"/>
        <w:ind w:left="1209"/>
        <w:rPr>
          <w:sz w:val="2"/>
        </w:rPr>
      </w:pPr>
      <w:r>
        <w:rPr>
          <w:sz w:val="2"/>
        </w:rPr>
        <w:pict>
          <v:group style="width:456.4pt;height:.75pt;mso-position-horizontal-relative:char;mso-position-vertical-relative:line" coordorigin="0,0" coordsize="9128,15">
            <v:rect style="position:absolute;left:0;top:0;width:9128;height:15" filled="true" fillcolor="#000000" stroked="false">
              <v:fill type="solid"/>
            </v:rect>
          </v:group>
        </w:pict>
      </w:r>
      <w:r>
        <w:rPr>
          <w:sz w:val="2"/>
        </w:rPr>
      </w:r>
    </w:p>
    <w:p>
      <w:pPr>
        <w:pStyle w:val="BodyText"/>
        <w:spacing w:before="3"/>
        <w:ind w:left="0"/>
        <w:rPr>
          <w:b/>
          <w:sz w:val="18"/>
        </w:rPr>
      </w:pPr>
    </w:p>
    <w:p>
      <w:pPr>
        <w:pStyle w:val="Heading1"/>
        <w:spacing w:line="330" w:lineRule="exact" w:before="48"/>
        <w:ind w:right="1604"/>
      </w:pPr>
      <w:r>
        <w:rPr/>
        <w:t>Application for Customs Broker Licence</w:t>
      </w:r>
    </w:p>
    <w:p>
      <w:pPr>
        <w:pStyle w:val="BodyText"/>
        <w:spacing w:line="231" w:lineRule="exact"/>
      </w:pPr>
      <w:r>
        <w:rPr/>
        <w:t>The following companies have applied to the Chief Executive Officer for a Customs broker licence.</w:t>
      </w:r>
    </w:p>
    <w:p>
      <w:pPr>
        <w:pStyle w:val="BodyText"/>
        <w:spacing w:before="7"/>
        <w:ind w:left="0"/>
        <w:rPr>
          <w:sz w:val="19"/>
        </w:rPr>
      </w:pPr>
    </w:p>
    <w:tbl>
      <w:tblPr>
        <w:tblW w:w="0" w:type="auto"/>
        <w:jc w:val="left"/>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2"/>
        <w:gridCol w:w="4666"/>
      </w:tblGrid>
      <w:tr>
        <w:trPr>
          <w:trHeight w:val="261" w:hRule="atLeast"/>
        </w:trPr>
        <w:tc>
          <w:tcPr>
            <w:tcW w:w="4512" w:type="dxa"/>
            <w:tcBorders>
              <w:bottom w:val="nil"/>
            </w:tcBorders>
          </w:tcPr>
          <w:p>
            <w:pPr>
              <w:pStyle w:val="TableParagraph"/>
              <w:spacing w:line="229" w:lineRule="exact"/>
              <w:rPr>
                <w:b/>
                <w:sz w:val="20"/>
              </w:rPr>
            </w:pPr>
            <w:r>
              <w:rPr>
                <w:b/>
                <w:sz w:val="20"/>
                <w:u w:val="thick"/>
              </w:rPr>
              <w:t>COMPANY NAME</w:t>
            </w:r>
          </w:p>
        </w:tc>
        <w:tc>
          <w:tcPr>
            <w:tcW w:w="4666" w:type="dxa"/>
            <w:tcBorders>
              <w:bottom w:val="nil"/>
            </w:tcBorders>
          </w:tcPr>
          <w:p>
            <w:pPr>
              <w:pStyle w:val="TableParagraph"/>
              <w:spacing w:line="229" w:lineRule="exact"/>
              <w:rPr>
                <w:b/>
                <w:sz w:val="20"/>
              </w:rPr>
            </w:pPr>
            <w:r>
              <w:rPr>
                <w:b/>
                <w:sz w:val="20"/>
                <w:u w:val="thick"/>
              </w:rPr>
              <w:t>COMPANY NAME</w:t>
            </w:r>
          </w:p>
        </w:tc>
      </w:tr>
      <w:tr>
        <w:trPr>
          <w:trHeight w:val="1058" w:hRule="atLeast"/>
        </w:trPr>
        <w:tc>
          <w:tcPr>
            <w:tcW w:w="4512" w:type="dxa"/>
            <w:tcBorders>
              <w:top w:val="nil"/>
              <w:bottom w:val="nil"/>
            </w:tcBorders>
          </w:tcPr>
          <w:p>
            <w:pPr>
              <w:pStyle w:val="TableParagraph"/>
              <w:spacing w:line="235" w:lineRule="auto" w:before="1"/>
              <w:ind w:right="1840"/>
              <w:rPr>
                <w:sz w:val="20"/>
              </w:rPr>
            </w:pPr>
            <w:r>
              <w:rPr>
                <w:sz w:val="20"/>
              </w:rPr>
              <w:t>SI Logistics Australia Pty Ltd ABN: 37 144 498 715</w:t>
            </w:r>
          </w:p>
          <w:p>
            <w:pPr>
              <w:pStyle w:val="TableParagraph"/>
              <w:spacing w:line="235" w:lineRule="auto"/>
              <w:ind w:right="1840"/>
              <w:rPr>
                <w:sz w:val="20"/>
              </w:rPr>
            </w:pPr>
            <w:r>
              <w:rPr>
                <w:sz w:val="20"/>
              </w:rPr>
              <w:t>13/35 Paringa Road MURRARIE QLD 4172</w:t>
            </w:r>
          </w:p>
        </w:tc>
        <w:tc>
          <w:tcPr>
            <w:tcW w:w="4666" w:type="dxa"/>
            <w:tcBorders>
              <w:top w:val="nil"/>
              <w:bottom w:val="nil"/>
            </w:tcBorders>
          </w:tcPr>
          <w:p>
            <w:pPr>
              <w:pStyle w:val="TableParagraph"/>
              <w:spacing w:line="235" w:lineRule="auto" w:before="1"/>
              <w:ind w:right="1316"/>
              <w:rPr>
                <w:sz w:val="20"/>
              </w:rPr>
            </w:pPr>
            <w:r>
              <w:rPr>
                <w:sz w:val="20"/>
              </w:rPr>
              <w:t>Platinum International Cargo Pty Ltd ABN: 32 118 900 619</w:t>
            </w:r>
          </w:p>
          <w:p>
            <w:pPr>
              <w:pStyle w:val="TableParagraph"/>
              <w:spacing w:line="235" w:lineRule="auto"/>
              <w:ind w:right="2256"/>
              <w:rPr>
                <w:sz w:val="20"/>
              </w:rPr>
            </w:pPr>
            <w:r>
              <w:rPr>
                <w:sz w:val="20"/>
              </w:rPr>
              <w:t>3a Monier Square VILLAWOOD NSW 2163</w:t>
            </w:r>
          </w:p>
        </w:tc>
      </w:tr>
      <w:tr>
        <w:trPr>
          <w:trHeight w:val="379" w:hRule="atLeast"/>
        </w:trPr>
        <w:tc>
          <w:tcPr>
            <w:tcW w:w="4512" w:type="dxa"/>
            <w:tcBorders>
              <w:top w:val="nil"/>
              <w:bottom w:val="nil"/>
            </w:tcBorders>
          </w:tcPr>
          <w:p>
            <w:pPr>
              <w:pStyle w:val="TableParagraph"/>
              <w:spacing w:before="96"/>
              <w:rPr>
                <w:b/>
                <w:sz w:val="20"/>
              </w:rPr>
            </w:pPr>
            <w:r>
              <w:rPr>
                <w:b/>
                <w:sz w:val="20"/>
              </w:rPr>
              <w:t>Persons in Authority</w:t>
            </w:r>
          </w:p>
        </w:tc>
        <w:tc>
          <w:tcPr>
            <w:tcW w:w="4666" w:type="dxa"/>
            <w:tcBorders>
              <w:top w:val="nil"/>
              <w:bottom w:val="nil"/>
            </w:tcBorders>
          </w:tcPr>
          <w:p>
            <w:pPr>
              <w:pStyle w:val="TableParagraph"/>
              <w:spacing w:before="96"/>
              <w:rPr>
                <w:b/>
                <w:sz w:val="20"/>
              </w:rPr>
            </w:pPr>
            <w:r>
              <w:rPr>
                <w:b/>
                <w:sz w:val="20"/>
              </w:rPr>
              <w:t>Persons in Authority</w:t>
            </w:r>
          </w:p>
        </w:tc>
      </w:tr>
      <w:tr>
        <w:trPr>
          <w:trHeight w:val="374" w:hRule="atLeast"/>
        </w:trPr>
        <w:tc>
          <w:tcPr>
            <w:tcW w:w="4512" w:type="dxa"/>
            <w:tcBorders>
              <w:top w:val="nil"/>
              <w:bottom w:val="nil"/>
            </w:tcBorders>
          </w:tcPr>
          <w:p>
            <w:pPr>
              <w:pStyle w:val="TableParagraph"/>
              <w:spacing w:before="9"/>
              <w:rPr>
                <w:sz w:val="20"/>
              </w:rPr>
            </w:pPr>
            <w:r>
              <w:rPr>
                <w:sz w:val="20"/>
              </w:rPr>
              <w:t>DUMBLETON, Darren Andrew</w:t>
            </w:r>
          </w:p>
        </w:tc>
        <w:tc>
          <w:tcPr>
            <w:tcW w:w="4666" w:type="dxa"/>
            <w:tcBorders>
              <w:top w:val="nil"/>
              <w:bottom w:val="nil"/>
            </w:tcBorders>
          </w:tcPr>
          <w:p>
            <w:pPr>
              <w:pStyle w:val="TableParagraph"/>
              <w:spacing w:before="9"/>
              <w:rPr>
                <w:sz w:val="20"/>
              </w:rPr>
            </w:pPr>
            <w:r>
              <w:rPr>
                <w:sz w:val="20"/>
              </w:rPr>
              <w:t>BUDD, Rachael Clair</w:t>
            </w:r>
          </w:p>
        </w:tc>
      </w:tr>
      <w:tr>
        <w:trPr>
          <w:trHeight w:val="691" w:hRule="atLeast"/>
        </w:trPr>
        <w:tc>
          <w:tcPr>
            <w:tcW w:w="4512" w:type="dxa"/>
            <w:tcBorders>
              <w:top w:val="nil"/>
              <w:bottom w:val="nil"/>
            </w:tcBorders>
          </w:tcPr>
          <w:p>
            <w:pPr>
              <w:pStyle w:val="TableParagraph"/>
              <w:spacing w:line="237" w:lineRule="exact" w:before="91"/>
              <w:rPr>
                <w:b/>
                <w:sz w:val="20"/>
              </w:rPr>
            </w:pPr>
            <w:r>
              <w:rPr>
                <w:b/>
                <w:sz w:val="20"/>
              </w:rPr>
              <w:t>Nominee Brokers</w:t>
            </w:r>
          </w:p>
          <w:p>
            <w:pPr>
              <w:pStyle w:val="TableParagraph"/>
              <w:spacing w:line="233" w:lineRule="exact"/>
              <w:rPr>
                <w:sz w:val="20"/>
              </w:rPr>
            </w:pPr>
            <w:r>
              <w:rPr>
                <w:sz w:val="20"/>
              </w:rPr>
              <w:t>PEPPER, Simon Jay</w:t>
            </w:r>
          </w:p>
        </w:tc>
        <w:tc>
          <w:tcPr>
            <w:tcW w:w="4666" w:type="dxa"/>
            <w:tcBorders>
              <w:top w:val="nil"/>
              <w:bottom w:val="nil"/>
            </w:tcBorders>
          </w:tcPr>
          <w:p>
            <w:pPr>
              <w:pStyle w:val="TableParagraph"/>
              <w:spacing w:line="237" w:lineRule="exact" w:before="91"/>
              <w:rPr>
                <w:b/>
                <w:sz w:val="20"/>
              </w:rPr>
            </w:pPr>
            <w:r>
              <w:rPr>
                <w:b/>
                <w:sz w:val="20"/>
              </w:rPr>
              <w:t>Nominee Brokers</w:t>
            </w:r>
          </w:p>
          <w:p>
            <w:pPr>
              <w:pStyle w:val="TableParagraph"/>
              <w:spacing w:line="233" w:lineRule="exact"/>
              <w:rPr>
                <w:sz w:val="20"/>
              </w:rPr>
            </w:pPr>
            <w:r>
              <w:rPr>
                <w:sz w:val="20"/>
              </w:rPr>
              <w:t>VELTRI, Maria Caterina</w:t>
            </w:r>
          </w:p>
        </w:tc>
      </w:tr>
      <w:tr>
        <w:trPr>
          <w:trHeight w:val="381" w:hRule="atLeast"/>
        </w:trPr>
        <w:tc>
          <w:tcPr>
            <w:tcW w:w="4512" w:type="dxa"/>
            <w:tcBorders>
              <w:top w:val="nil"/>
              <w:bottom w:val="nil"/>
            </w:tcBorders>
          </w:tcPr>
          <w:p>
            <w:pPr>
              <w:pStyle w:val="TableParagraph"/>
              <w:spacing w:before="91"/>
              <w:rPr>
                <w:b/>
                <w:sz w:val="20"/>
              </w:rPr>
            </w:pPr>
            <w:r>
              <w:rPr>
                <w:b/>
                <w:sz w:val="20"/>
                <w:u w:val="thick"/>
              </w:rPr>
              <w:t>COMPANY NAME</w:t>
            </w:r>
          </w:p>
        </w:tc>
        <w:tc>
          <w:tcPr>
            <w:tcW w:w="4666" w:type="dxa"/>
            <w:tcBorders>
              <w:top w:val="nil"/>
              <w:bottom w:val="nil"/>
            </w:tcBorders>
          </w:tcPr>
          <w:p>
            <w:pPr>
              <w:pStyle w:val="TableParagraph"/>
              <w:spacing w:before="91"/>
              <w:rPr>
                <w:b/>
                <w:sz w:val="20"/>
              </w:rPr>
            </w:pPr>
            <w:r>
              <w:rPr>
                <w:b/>
                <w:sz w:val="20"/>
                <w:u w:val="thick"/>
              </w:rPr>
              <w:t>COMPANY NAME</w:t>
            </w:r>
          </w:p>
        </w:tc>
      </w:tr>
      <w:tr>
        <w:trPr>
          <w:trHeight w:val="1106" w:hRule="atLeast"/>
        </w:trPr>
        <w:tc>
          <w:tcPr>
            <w:tcW w:w="4512" w:type="dxa"/>
            <w:tcBorders>
              <w:top w:val="nil"/>
              <w:bottom w:val="nil"/>
            </w:tcBorders>
          </w:tcPr>
          <w:p>
            <w:pPr>
              <w:pStyle w:val="TableParagraph"/>
              <w:spacing w:line="264" w:lineRule="auto" w:before="16"/>
              <w:ind w:right="2069"/>
              <w:rPr>
                <w:sz w:val="20"/>
              </w:rPr>
            </w:pPr>
            <w:r>
              <w:rPr>
                <w:sz w:val="20"/>
              </w:rPr>
              <w:t>Global Freight Pty Ltd ABN : 57 099 161</w:t>
            </w:r>
            <w:r>
              <w:rPr>
                <w:spacing w:val="-5"/>
                <w:sz w:val="20"/>
              </w:rPr>
              <w:t> 679</w:t>
            </w:r>
          </w:p>
          <w:p>
            <w:pPr>
              <w:pStyle w:val="TableParagraph"/>
              <w:spacing w:line="205" w:lineRule="exact"/>
              <w:rPr>
                <w:sz w:val="20"/>
              </w:rPr>
            </w:pPr>
            <w:r>
              <w:rPr>
                <w:sz w:val="20"/>
              </w:rPr>
              <w:t>21-23 Marshall</w:t>
            </w:r>
            <w:r>
              <w:rPr>
                <w:spacing w:val="-13"/>
                <w:sz w:val="20"/>
              </w:rPr>
              <w:t> </w:t>
            </w:r>
            <w:r>
              <w:rPr>
                <w:sz w:val="20"/>
              </w:rPr>
              <w:t>Court</w:t>
            </w:r>
          </w:p>
          <w:p>
            <w:pPr>
              <w:pStyle w:val="TableParagraph"/>
              <w:spacing w:line="233" w:lineRule="exact"/>
              <w:rPr>
                <w:sz w:val="20"/>
              </w:rPr>
            </w:pPr>
            <w:r>
              <w:rPr>
                <w:sz w:val="20"/>
              </w:rPr>
              <w:t>ALTONA VIC</w:t>
            </w:r>
            <w:r>
              <w:rPr>
                <w:spacing w:val="52"/>
                <w:sz w:val="20"/>
              </w:rPr>
              <w:t> </w:t>
            </w:r>
            <w:r>
              <w:rPr>
                <w:sz w:val="20"/>
              </w:rPr>
              <w:t>3018</w:t>
            </w:r>
          </w:p>
        </w:tc>
        <w:tc>
          <w:tcPr>
            <w:tcW w:w="4666" w:type="dxa"/>
            <w:tcBorders>
              <w:top w:val="nil"/>
              <w:bottom w:val="nil"/>
            </w:tcBorders>
          </w:tcPr>
          <w:p>
            <w:pPr>
              <w:pStyle w:val="TableParagraph"/>
              <w:spacing w:line="264" w:lineRule="auto" w:before="16"/>
              <w:ind w:right="2256"/>
              <w:rPr>
                <w:sz w:val="20"/>
              </w:rPr>
            </w:pPr>
            <w:r>
              <w:rPr>
                <w:sz w:val="20"/>
              </w:rPr>
              <w:t>Asean Cargo Pty Ltd ABN: 32 139 394</w:t>
            </w:r>
            <w:r>
              <w:rPr>
                <w:spacing w:val="-7"/>
                <w:sz w:val="20"/>
              </w:rPr>
              <w:t> </w:t>
            </w:r>
            <w:r>
              <w:rPr>
                <w:spacing w:val="-4"/>
                <w:sz w:val="20"/>
              </w:rPr>
              <w:t>451</w:t>
            </w:r>
          </w:p>
          <w:p>
            <w:pPr>
              <w:pStyle w:val="TableParagraph"/>
              <w:spacing w:line="205" w:lineRule="exact"/>
              <w:rPr>
                <w:sz w:val="20"/>
              </w:rPr>
            </w:pPr>
            <w:r>
              <w:rPr>
                <w:sz w:val="20"/>
              </w:rPr>
              <w:t>Unit 2/2 Simblist</w:t>
            </w:r>
            <w:r>
              <w:rPr>
                <w:spacing w:val="-12"/>
                <w:sz w:val="20"/>
              </w:rPr>
              <w:t> </w:t>
            </w:r>
            <w:r>
              <w:rPr>
                <w:sz w:val="20"/>
              </w:rPr>
              <w:t>Road</w:t>
            </w:r>
          </w:p>
          <w:p>
            <w:pPr>
              <w:pStyle w:val="TableParagraph"/>
              <w:spacing w:line="233" w:lineRule="exact"/>
              <w:rPr>
                <w:sz w:val="20"/>
              </w:rPr>
            </w:pPr>
            <w:r>
              <w:rPr>
                <w:sz w:val="20"/>
              </w:rPr>
              <w:t>PORT BOTANY NSW 2036</w:t>
            </w:r>
          </w:p>
        </w:tc>
      </w:tr>
      <w:tr>
        <w:trPr>
          <w:trHeight w:val="379" w:hRule="atLeast"/>
        </w:trPr>
        <w:tc>
          <w:tcPr>
            <w:tcW w:w="4512" w:type="dxa"/>
            <w:tcBorders>
              <w:top w:val="nil"/>
              <w:bottom w:val="nil"/>
            </w:tcBorders>
          </w:tcPr>
          <w:p>
            <w:pPr>
              <w:pStyle w:val="TableParagraph"/>
              <w:spacing w:before="96"/>
              <w:rPr>
                <w:b/>
                <w:sz w:val="20"/>
              </w:rPr>
            </w:pPr>
            <w:r>
              <w:rPr>
                <w:b/>
                <w:sz w:val="20"/>
              </w:rPr>
              <w:t>Persons in Authority</w:t>
            </w:r>
          </w:p>
        </w:tc>
        <w:tc>
          <w:tcPr>
            <w:tcW w:w="4666" w:type="dxa"/>
            <w:tcBorders>
              <w:top w:val="nil"/>
              <w:bottom w:val="nil"/>
            </w:tcBorders>
          </w:tcPr>
          <w:p>
            <w:pPr>
              <w:pStyle w:val="TableParagraph"/>
              <w:spacing w:before="96"/>
              <w:rPr>
                <w:b/>
                <w:sz w:val="20"/>
              </w:rPr>
            </w:pPr>
            <w:r>
              <w:rPr>
                <w:b/>
                <w:sz w:val="20"/>
              </w:rPr>
              <w:t>Persons in Authority</w:t>
            </w:r>
          </w:p>
        </w:tc>
      </w:tr>
      <w:tr>
        <w:trPr>
          <w:trHeight w:val="719" w:hRule="atLeast"/>
        </w:trPr>
        <w:tc>
          <w:tcPr>
            <w:tcW w:w="4512" w:type="dxa"/>
            <w:tcBorders>
              <w:top w:val="nil"/>
              <w:bottom w:val="nil"/>
            </w:tcBorders>
          </w:tcPr>
          <w:p>
            <w:pPr>
              <w:pStyle w:val="TableParagraph"/>
              <w:spacing w:line="235" w:lineRule="auto" w:before="13"/>
              <w:ind w:right="1618"/>
              <w:rPr>
                <w:sz w:val="20"/>
              </w:rPr>
            </w:pPr>
            <w:r>
              <w:rPr>
                <w:sz w:val="20"/>
              </w:rPr>
              <w:t>MAJOR, Matthew Robert Peter IACOBUCCI, John Francis</w:t>
            </w:r>
          </w:p>
        </w:tc>
        <w:tc>
          <w:tcPr>
            <w:tcW w:w="4666" w:type="dxa"/>
            <w:tcBorders>
              <w:top w:val="nil"/>
              <w:bottom w:val="nil"/>
            </w:tcBorders>
          </w:tcPr>
          <w:p>
            <w:pPr>
              <w:pStyle w:val="TableParagraph"/>
              <w:spacing w:line="230" w:lineRule="exact" w:before="15"/>
              <w:ind w:right="2116"/>
              <w:rPr>
                <w:sz w:val="20"/>
              </w:rPr>
            </w:pPr>
            <w:r>
              <w:rPr>
                <w:sz w:val="20"/>
              </w:rPr>
              <w:t>ZANONI, Chris Andrew POMROY, Paul William HILTON, Nicholas Kenneth</w:t>
            </w:r>
          </w:p>
        </w:tc>
      </w:tr>
      <w:tr>
        <w:trPr>
          <w:trHeight w:val="1135" w:hRule="atLeast"/>
        </w:trPr>
        <w:tc>
          <w:tcPr>
            <w:tcW w:w="4512" w:type="dxa"/>
            <w:tcBorders>
              <w:top w:val="nil"/>
            </w:tcBorders>
          </w:tcPr>
          <w:p>
            <w:pPr>
              <w:pStyle w:val="TableParagraph"/>
              <w:spacing w:line="213" w:lineRule="exact"/>
              <w:rPr>
                <w:b/>
                <w:sz w:val="20"/>
              </w:rPr>
            </w:pPr>
            <w:r>
              <w:rPr>
                <w:b/>
                <w:sz w:val="20"/>
              </w:rPr>
              <w:t>Nominee Brokers</w:t>
            </w:r>
          </w:p>
          <w:p>
            <w:pPr>
              <w:pStyle w:val="TableParagraph"/>
              <w:spacing w:line="233" w:lineRule="exact"/>
              <w:rPr>
                <w:sz w:val="20"/>
              </w:rPr>
            </w:pPr>
            <w:r>
              <w:rPr>
                <w:sz w:val="20"/>
              </w:rPr>
              <w:t>IACOBUCCI, John Francis</w:t>
            </w:r>
          </w:p>
        </w:tc>
        <w:tc>
          <w:tcPr>
            <w:tcW w:w="4666" w:type="dxa"/>
            <w:tcBorders>
              <w:top w:val="nil"/>
            </w:tcBorders>
          </w:tcPr>
          <w:p>
            <w:pPr>
              <w:pStyle w:val="TableParagraph"/>
              <w:spacing w:before="6"/>
              <w:ind w:left="0"/>
              <w:rPr>
                <w:sz w:val="17"/>
              </w:rPr>
            </w:pPr>
          </w:p>
          <w:p>
            <w:pPr>
              <w:pStyle w:val="TableParagraph"/>
              <w:spacing w:line="237" w:lineRule="exact" w:before="1"/>
              <w:rPr>
                <w:b/>
                <w:sz w:val="20"/>
              </w:rPr>
            </w:pPr>
            <w:r>
              <w:rPr>
                <w:b/>
                <w:sz w:val="20"/>
              </w:rPr>
              <w:t>Nominee Brokers</w:t>
            </w:r>
          </w:p>
          <w:p>
            <w:pPr>
              <w:pStyle w:val="TableParagraph"/>
              <w:spacing w:line="232" w:lineRule="auto" w:before="3"/>
              <w:ind w:right="2195"/>
              <w:rPr>
                <w:sz w:val="20"/>
              </w:rPr>
            </w:pPr>
            <w:r>
              <w:rPr>
                <w:sz w:val="20"/>
              </w:rPr>
              <w:t>ZANONI, Chris Andrew CONWELL, Ross Thomas</w:t>
            </w:r>
          </w:p>
          <w:p>
            <w:pPr>
              <w:pStyle w:val="TableParagraph"/>
              <w:spacing w:line="212" w:lineRule="exact"/>
              <w:rPr>
                <w:sz w:val="20"/>
              </w:rPr>
            </w:pPr>
            <w:r>
              <w:rPr>
                <w:sz w:val="20"/>
              </w:rPr>
              <w:t>BALANGE, David Bruce</w:t>
            </w:r>
          </w:p>
        </w:tc>
      </w:tr>
    </w:tbl>
    <w:p>
      <w:pPr>
        <w:pStyle w:val="BodyText"/>
        <w:spacing w:before="5"/>
        <w:ind w:left="0"/>
        <w:rPr>
          <w:sz w:val="19"/>
        </w:rPr>
      </w:pPr>
    </w:p>
    <w:p>
      <w:pPr>
        <w:pStyle w:val="BodyText"/>
        <w:spacing w:line="235" w:lineRule="auto"/>
        <w:ind w:right="1997"/>
      </w:pPr>
      <w:r>
        <w:rPr/>
        <w:t>Any persons wishing to make written representation in respect of these applications should address the correspondence by 04 April 2011 to:</w:t>
      </w:r>
    </w:p>
    <w:p>
      <w:pPr>
        <w:pStyle w:val="BodyText"/>
        <w:spacing w:before="4"/>
        <w:ind w:left="0"/>
        <w:rPr>
          <w:sz w:val="19"/>
        </w:rPr>
      </w:pPr>
    </w:p>
    <w:p>
      <w:pPr>
        <w:pStyle w:val="BodyText"/>
        <w:spacing w:line="232" w:lineRule="exact"/>
      </w:pPr>
      <w:r>
        <w:rPr/>
        <w:t>Broker Licensing</w:t>
      </w:r>
    </w:p>
    <w:p>
      <w:pPr>
        <w:pStyle w:val="BodyText"/>
        <w:tabs>
          <w:tab w:pos="4838" w:val="left" w:leader="none"/>
        </w:tabs>
        <w:spacing w:line="235" w:lineRule="auto"/>
        <w:ind w:right="2749"/>
      </w:pPr>
      <w:r>
        <w:rPr/>
        <w:t>Australian</w:t>
      </w:r>
      <w:r>
        <w:rPr>
          <w:spacing w:val="-4"/>
        </w:rPr>
        <w:t> </w:t>
      </w:r>
      <w:r>
        <w:rPr/>
        <w:t>Customs</w:t>
      </w:r>
      <w:r>
        <w:rPr>
          <w:spacing w:val="-3"/>
        </w:rPr>
        <w:t> </w:t>
      </w:r>
      <w:r>
        <w:rPr/>
        <w:t>Service</w:t>
        <w:tab/>
        <w:t>Or email:</w:t>
      </w:r>
      <w:r>
        <w:rPr>
          <w:spacing w:val="-18"/>
        </w:rPr>
        <w:t> </w:t>
      </w:r>
      <w:hyperlink r:id="rId6">
        <w:r>
          <w:rPr>
            <w:color w:val="0000FF"/>
            <w:u w:val="single" w:color="0000FF"/>
          </w:rPr>
          <w:t>brokers.licensing@customs.gov.au</w:t>
        </w:r>
      </w:hyperlink>
      <w:r>
        <w:rPr>
          <w:color w:val="0000FF"/>
        </w:rPr>
        <w:t> </w:t>
      </w:r>
      <w:r>
        <w:rPr/>
        <w:t>5 Constitution</w:t>
      </w:r>
      <w:r>
        <w:rPr>
          <w:spacing w:val="-3"/>
        </w:rPr>
        <w:t> </w:t>
      </w:r>
      <w:r>
        <w:rPr/>
        <w:t>Avenue</w:t>
      </w:r>
    </w:p>
    <w:p>
      <w:pPr>
        <w:pStyle w:val="BodyText"/>
        <w:spacing w:line="231" w:lineRule="exact"/>
      </w:pPr>
      <w:r>
        <w:rPr/>
        <w:t>CANBERRA ACT 2601</w:t>
      </w:r>
    </w:p>
    <w:p>
      <w:pPr>
        <w:pStyle w:val="BodyText"/>
        <w:spacing w:before="6"/>
        <w:ind w:left="0"/>
        <w:rPr>
          <w:sz w:val="19"/>
        </w:rPr>
      </w:pPr>
    </w:p>
    <w:p>
      <w:pPr>
        <w:pStyle w:val="BodyText"/>
        <w:spacing w:line="235" w:lineRule="auto"/>
        <w:ind w:right="199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right="1997"/>
      </w:pPr>
      <w:r>
        <w:rPr/>
        <w:t>Applicants will not be provided with a copy of the communication and details of its author unless Customs is authorised by the author to fully disclose the representation.</w:t>
      </w:r>
    </w:p>
    <w:p>
      <w:pPr>
        <w:pStyle w:val="BodyText"/>
        <w:ind w:left="0"/>
      </w:pPr>
    </w:p>
    <w:p>
      <w:pPr>
        <w:pStyle w:val="BodyText"/>
        <w:ind w:left="0"/>
      </w:pPr>
    </w:p>
    <w:p>
      <w:pPr>
        <w:pStyle w:val="BodyText"/>
        <w:spacing w:before="3"/>
        <w:ind w:left="0"/>
        <w:rPr>
          <w:sz w:val="18"/>
        </w:rPr>
      </w:pPr>
    </w:p>
    <w:p>
      <w:pPr>
        <w:pStyle w:val="BodyText"/>
        <w:spacing w:line="233" w:lineRule="exact"/>
      </w:pPr>
      <w:r>
        <w:rPr/>
        <w:t>Kim Marshall</w:t>
      </w:r>
    </w:p>
    <w:p>
      <w:pPr>
        <w:pStyle w:val="BodyText"/>
        <w:spacing w:line="235" w:lineRule="auto" w:before="2"/>
        <w:ind w:right="6800"/>
      </w:pPr>
      <w:r>
        <w:rPr/>
        <w:t>Director Compliance Assurance Branch For Chief Executive Officer</w:t>
      </w:r>
    </w:p>
    <w:p>
      <w:pPr>
        <w:pStyle w:val="BodyText"/>
        <w:spacing w:line="231" w:lineRule="exact"/>
      </w:pPr>
      <w:r>
        <w:rPr/>
        <w:t>17 March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238"/>
    </w:pPr>
    <w:rPr>
      <w:rFonts w:ascii="Helvetica" w:hAnsi="Helvetica" w:eastAsia="Helvetica" w:cs="Helvetica"/>
      <w:sz w:val="20"/>
      <w:szCs w:val="20"/>
    </w:rPr>
  </w:style>
  <w:style w:styleId="Heading1" w:type="paragraph">
    <w:name w:val="Heading 1"/>
    <w:basedOn w:val="Normal"/>
    <w:uiPriority w:val="1"/>
    <w:qFormat/>
    <w:pPr>
      <w:spacing w:line="298" w:lineRule="exact"/>
      <w:ind w:left="1591" w:right="1602"/>
      <w:jc w:val="center"/>
      <w:outlineLvl w:val="1"/>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2011.0x.doc</dc:title>
  <dcterms:created xsi:type="dcterms:W3CDTF">2020-12-09T22:31:35Z</dcterms:created>
  <dcterms:modified xsi:type="dcterms:W3CDTF">2020-12-09T22:31:35Z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2011-03-17T00:00:00Z</vt:filetime>
  </property>
  <property fmtid="{D5CDD505-2E9C-101B-9397-08002B2CF9AE}" pid="3" name="Creator">
    <vt:lpwstr>PScript5.dll Version 5.2.2</vt:lpwstr>
  </property>
  <property fmtid="{D5CDD505-2E9C-101B-9397-08002B2CF9AE}" pid="4" name="LastSaved">
    <vt:filetime>2020-12-09T00:00:00Z</vt:filetime>
  </property>
</Properties>
</file>