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5"/>
        </w:rPr>
      </w:pPr>
    </w:p>
    <w:p>
      <w:pPr>
        <w:pStyle w:val="Title"/>
        <w:spacing w:line="230" w:lineRule="auto" w:before="59" w:after="23"/>
        <w:ind w:left="4977"/>
      </w:pPr>
      <w:r>
        <w:rPr/>
        <w:t>AUSTRALIAN CUSTOMS AND BORDER PROTECTION NOTICE NO. 2011/21</w:t>
      </w:r>
    </w:p>
    <w:p>
      <w:pPr>
        <w:pStyle w:val="BodyText"/>
        <w:spacing w:line="20" w:lineRule="exact"/>
        <w:ind w:left="1209"/>
        <w:rPr>
          <w:sz w:val="2"/>
        </w:rPr>
      </w:pPr>
      <w:r>
        <w:rPr>
          <w:sz w:val="2"/>
        </w:rPr>
        <w:pict>
          <v:group style="width:456.4pt;height:.75pt;mso-position-horizontal-relative:char;mso-position-vertical-relative:line" coordorigin="0,0" coordsize="9128,15">
            <v:rect style="position:absolute;left:0;top:0;width:9128;height:15" filled="true" fillcolor="#000000" stroked="false">
              <v:fill type="solid"/>
            </v:rect>
          </v:group>
        </w:pict>
      </w:r>
      <w:r>
        <w:rPr>
          <w:sz w:val="2"/>
        </w:rPr>
      </w:r>
    </w:p>
    <w:p>
      <w:pPr>
        <w:pStyle w:val="BodyText"/>
        <w:spacing w:before="3"/>
        <w:rPr>
          <w:b/>
          <w:sz w:val="18"/>
        </w:rPr>
      </w:pPr>
    </w:p>
    <w:p>
      <w:pPr>
        <w:pStyle w:val="Title"/>
        <w:spacing w:line="330" w:lineRule="exact"/>
        <w:ind w:right="3090" w:firstLine="0"/>
        <w:jc w:val="center"/>
      </w:pPr>
      <w:r>
        <w:rPr/>
        <w:t>Application for Customs Broker Licence</w:t>
      </w:r>
    </w:p>
    <w:p>
      <w:pPr>
        <w:pStyle w:val="BodyText"/>
        <w:spacing w:line="235" w:lineRule="auto"/>
        <w:ind w:left="1238" w:right="1808"/>
      </w:pPr>
      <w:r>
        <w:rPr/>
        <w:t>The following companies and persons have applied to the Chief Executive Officer for a Customs broker licence.</w:t>
      </w:r>
    </w:p>
    <w:p>
      <w:pPr>
        <w:pStyle w:val="BodyText"/>
        <w:spacing w:before="6"/>
        <w:rPr>
          <w:sz w:val="19"/>
        </w:rPr>
      </w:pP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2"/>
        <w:gridCol w:w="4666"/>
      </w:tblGrid>
      <w:tr>
        <w:trPr>
          <w:trHeight w:val="337" w:hRule="atLeast"/>
        </w:trPr>
        <w:tc>
          <w:tcPr>
            <w:tcW w:w="4512" w:type="dxa"/>
            <w:tcBorders>
              <w:bottom w:val="nil"/>
            </w:tcBorders>
          </w:tcPr>
          <w:p>
            <w:pPr>
              <w:pStyle w:val="TableParagraph"/>
              <w:spacing w:line="229" w:lineRule="exact"/>
              <w:rPr>
                <w:b/>
                <w:sz w:val="20"/>
              </w:rPr>
            </w:pPr>
            <w:r>
              <w:rPr>
                <w:b/>
                <w:sz w:val="20"/>
                <w:u w:val="thick"/>
              </w:rPr>
              <w:t>COMPANY NAME</w:t>
            </w:r>
          </w:p>
        </w:tc>
        <w:tc>
          <w:tcPr>
            <w:tcW w:w="4666" w:type="dxa"/>
            <w:tcBorders>
              <w:bottom w:val="nil"/>
            </w:tcBorders>
          </w:tcPr>
          <w:p>
            <w:pPr>
              <w:pStyle w:val="TableParagraph"/>
              <w:spacing w:line="229" w:lineRule="exact"/>
              <w:rPr>
                <w:b/>
                <w:sz w:val="20"/>
              </w:rPr>
            </w:pPr>
            <w:r>
              <w:rPr>
                <w:b/>
                <w:sz w:val="20"/>
                <w:u w:val="thick"/>
              </w:rPr>
              <w:t>COMPANY NAME</w:t>
            </w:r>
          </w:p>
        </w:tc>
      </w:tr>
      <w:tr>
        <w:trPr>
          <w:trHeight w:val="1132" w:hRule="atLeast"/>
        </w:trPr>
        <w:tc>
          <w:tcPr>
            <w:tcW w:w="4512" w:type="dxa"/>
            <w:tcBorders>
              <w:top w:val="nil"/>
              <w:bottom w:val="nil"/>
            </w:tcBorders>
          </w:tcPr>
          <w:p>
            <w:pPr>
              <w:pStyle w:val="TableParagraph"/>
              <w:spacing w:line="235" w:lineRule="auto" w:before="78"/>
              <w:ind w:right="2063"/>
              <w:rPr>
                <w:sz w:val="20"/>
              </w:rPr>
            </w:pPr>
            <w:r>
              <w:rPr>
                <w:sz w:val="20"/>
              </w:rPr>
              <w:t>Wiseway Logistics Pty Ltd ABN: 47 123 556 561</w:t>
            </w:r>
          </w:p>
          <w:p>
            <w:pPr>
              <w:pStyle w:val="TableParagraph"/>
              <w:spacing w:line="228" w:lineRule="exact"/>
              <w:rPr>
                <w:sz w:val="20"/>
              </w:rPr>
            </w:pPr>
            <w:r>
              <w:rPr>
                <w:sz w:val="20"/>
              </w:rPr>
              <w:t>Suite 201, 661 George Street</w:t>
            </w:r>
          </w:p>
          <w:p>
            <w:pPr>
              <w:pStyle w:val="TableParagraph"/>
              <w:spacing w:line="232" w:lineRule="exact"/>
              <w:rPr>
                <w:sz w:val="20"/>
              </w:rPr>
            </w:pPr>
            <w:r>
              <w:rPr>
                <w:sz w:val="20"/>
              </w:rPr>
              <w:t>SYDNEY NSW 2000</w:t>
            </w:r>
          </w:p>
        </w:tc>
        <w:tc>
          <w:tcPr>
            <w:tcW w:w="4666" w:type="dxa"/>
            <w:tcBorders>
              <w:top w:val="nil"/>
              <w:bottom w:val="nil"/>
            </w:tcBorders>
          </w:tcPr>
          <w:p>
            <w:pPr>
              <w:pStyle w:val="TableParagraph"/>
              <w:spacing w:line="235" w:lineRule="auto" w:before="78"/>
              <w:ind w:right="2207" w:hanging="1"/>
              <w:rPr>
                <w:sz w:val="20"/>
              </w:rPr>
            </w:pPr>
            <w:r>
              <w:rPr>
                <w:sz w:val="20"/>
              </w:rPr>
              <w:t>First Port Logistics Pty Ltd ABN: 25 150 054 354</w:t>
            </w:r>
          </w:p>
          <w:p>
            <w:pPr>
              <w:pStyle w:val="TableParagraph"/>
              <w:spacing w:line="232" w:lineRule="auto" w:before="2"/>
              <w:ind w:right="2207"/>
              <w:rPr>
                <w:sz w:val="20"/>
              </w:rPr>
            </w:pPr>
            <w:r>
              <w:rPr>
                <w:sz w:val="20"/>
              </w:rPr>
              <w:t>1403/31 Spring Street MELBOURNE VIC 3000</w:t>
            </w:r>
          </w:p>
        </w:tc>
      </w:tr>
      <w:tr>
        <w:trPr>
          <w:trHeight w:val="380" w:hRule="atLeast"/>
        </w:trPr>
        <w:tc>
          <w:tcPr>
            <w:tcW w:w="4512" w:type="dxa"/>
            <w:tcBorders>
              <w:top w:val="nil"/>
              <w:bottom w:val="nil"/>
            </w:tcBorders>
          </w:tcPr>
          <w:p>
            <w:pPr>
              <w:pStyle w:val="TableParagraph"/>
              <w:spacing w:before="96"/>
              <w:rPr>
                <w:b/>
                <w:sz w:val="20"/>
              </w:rPr>
            </w:pPr>
            <w:r>
              <w:rPr>
                <w:b/>
                <w:sz w:val="20"/>
              </w:rPr>
              <w:t>Persons in Authority</w:t>
            </w:r>
          </w:p>
        </w:tc>
        <w:tc>
          <w:tcPr>
            <w:tcW w:w="4666" w:type="dxa"/>
            <w:tcBorders>
              <w:top w:val="nil"/>
              <w:bottom w:val="nil"/>
            </w:tcBorders>
          </w:tcPr>
          <w:p>
            <w:pPr>
              <w:pStyle w:val="TableParagraph"/>
              <w:spacing w:before="96"/>
              <w:rPr>
                <w:b/>
                <w:sz w:val="20"/>
              </w:rPr>
            </w:pPr>
            <w:r>
              <w:rPr>
                <w:b/>
                <w:sz w:val="20"/>
              </w:rPr>
              <w:t>Persons in Authority</w:t>
            </w:r>
          </w:p>
        </w:tc>
      </w:tr>
      <w:tr>
        <w:trPr>
          <w:trHeight w:val="490" w:hRule="atLeast"/>
        </w:trPr>
        <w:tc>
          <w:tcPr>
            <w:tcW w:w="4512" w:type="dxa"/>
            <w:tcBorders>
              <w:top w:val="nil"/>
              <w:bottom w:val="nil"/>
            </w:tcBorders>
          </w:tcPr>
          <w:p>
            <w:pPr>
              <w:pStyle w:val="TableParagraph"/>
              <w:spacing w:line="230" w:lineRule="exact" w:before="16"/>
              <w:ind w:right="2351"/>
              <w:rPr>
                <w:sz w:val="20"/>
              </w:rPr>
            </w:pPr>
            <w:r>
              <w:rPr>
                <w:sz w:val="20"/>
              </w:rPr>
              <w:t>TONG, Florence Yanli TONG, Roger Shigang</w:t>
            </w:r>
          </w:p>
        </w:tc>
        <w:tc>
          <w:tcPr>
            <w:tcW w:w="4666" w:type="dxa"/>
            <w:tcBorders>
              <w:top w:val="nil"/>
              <w:bottom w:val="nil"/>
            </w:tcBorders>
          </w:tcPr>
          <w:p>
            <w:pPr>
              <w:pStyle w:val="TableParagraph"/>
              <w:spacing w:before="10"/>
              <w:rPr>
                <w:sz w:val="20"/>
              </w:rPr>
            </w:pPr>
            <w:r>
              <w:rPr>
                <w:sz w:val="20"/>
              </w:rPr>
              <w:t>GALLARD, Paul Ronald</w:t>
            </w:r>
          </w:p>
        </w:tc>
      </w:tr>
      <w:tr>
        <w:trPr>
          <w:trHeight w:val="688" w:hRule="atLeast"/>
        </w:trPr>
        <w:tc>
          <w:tcPr>
            <w:tcW w:w="4512" w:type="dxa"/>
            <w:tcBorders>
              <w:top w:val="nil"/>
              <w:bottom w:val="nil"/>
            </w:tcBorders>
          </w:tcPr>
          <w:p>
            <w:pPr>
              <w:pStyle w:val="TableParagraph"/>
              <w:spacing w:before="4"/>
              <w:ind w:left="0"/>
              <w:rPr>
                <w:sz w:val="17"/>
              </w:rPr>
            </w:pPr>
          </w:p>
          <w:p>
            <w:pPr>
              <w:pStyle w:val="TableParagraph"/>
              <w:spacing w:line="237" w:lineRule="exact"/>
              <w:rPr>
                <w:b/>
                <w:sz w:val="20"/>
              </w:rPr>
            </w:pPr>
            <w:r>
              <w:rPr>
                <w:b/>
                <w:sz w:val="20"/>
              </w:rPr>
              <w:t>Nominee Brokers</w:t>
            </w:r>
          </w:p>
          <w:p>
            <w:pPr>
              <w:pStyle w:val="TableParagraph"/>
              <w:spacing w:line="228" w:lineRule="exact"/>
              <w:rPr>
                <w:sz w:val="20"/>
              </w:rPr>
            </w:pPr>
            <w:r>
              <w:rPr>
                <w:sz w:val="20"/>
              </w:rPr>
              <w:t>PARMAGOS, Modestoula</w:t>
            </w:r>
          </w:p>
        </w:tc>
        <w:tc>
          <w:tcPr>
            <w:tcW w:w="4666" w:type="dxa"/>
            <w:tcBorders>
              <w:top w:val="nil"/>
              <w:bottom w:val="nil"/>
            </w:tcBorders>
          </w:tcPr>
          <w:p>
            <w:pPr>
              <w:pStyle w:val="TableParagraph"/>
              <w:spacing w:line="212" w:lineRule="exact"/>
              <w:rPr>
                <w:b/>
                <w:sz w:val="20"/>
              </w:rPr>
            </w:pPr>
            <w:r>
              <w:rPr>
                <w:b/>
                <w:sz w:val="20"/>
              </w:rPr>
              <w:t>Nominee Brokers</w:t>
            </w:r>
          </w:p>
          <w:p>
            <w:pPr>
              <w:pStyle w:val="TableParagraph"/>
              <w:spacing w:line="232" w:lineRule="exact"/>
              <w:rPr>
                <w:sz w:val="20"/>
              </w:rPr>
            </w:pPr>
            <w:r>
              <w:rPr>
                <w:sz w:val="20"/>
              </w:rPr>
              <w:t>GALLARD, Paul Ronald</w:t>
            </w:r>
          </w:p>
        </w:tc>
      </w:tr>
      <w:tr>
        <w:trPr>
          <w:trHeight w:val="316" w:hRule="atLeast"/>
        </w:trPr>
        <w:tc>
          <w:tcPr>
            <w:tcW w:w="4512" w:type="dxa"/>
            <w:tcBorders>
              <w:top w:val="nil"/>
              <w:bottom w:val="nil"/>
            </w:tcBorders>
          </w:tcPr>
          <w:p>
            <w:pPr>
              <w:pStyle w:val="TableParagraph"/>
              <w:ind w:left="0"/>
              <w:rPr>
                <w:rFonts w:ascii="Times New Roman"/>
                <w:sz w:val="20"/>
              </w:rPr>
            </w:pPr>
          </w:p>
        </w:tc>
        <w:tc>
          <w:tcPr>
            <w:tcW w:w="4666" w:type="dxa"/>
            <w:tcBorders>
              <w:top w:val="nil"/>
              <w:bottom w:val="nil"/>
            </w:tcBorders>
          </w:tcPr>
          <w:p>
            <w:pPr>
              <w:pStyle w:val="TableParagraph"/>
              <w:spacing w:line="215" w:lineRule="exact"/>
              <w:rPr>
                <w:b/>
                <w:sz w:val="20"/>
              </w:rPr>
            </w:pPr>
            <w:r>
              <w:rPr>
                <w:b/>
                <w:sz w:val="20"/>
                <w:u w:val="thick"/>
              </w:rPr>
              <w:t>INDIVIDUALS</w:t>
            </w:r>
          </w:p>
        </w:tc>
      </w:tr>
      <w:tr>
        <w:trPr>
          <w:trHeight w:val="532" w:hRule="atLeast"/>
        </w:trPr>
        <w:tc>
          <w:tcPr>
            <w:tcW w:w="4512" w:type="dxa"/>
            <w:tcBorders>
              <w:top w:val="nil"/>
            </w:tcBorders>
          </w:tcPr>
          <w:p>
            <w:pPr>
              <w:pStyle w:val="TableParagraph"/>
              <w:ind w:left="0"/>
              <w:rPr>
                <w:rFonts w:ascii="Times New Roman"/>
                <w:sz w:val="20"/>
              </w:rPr>
            </w:pPr>
          </w:p>
        </w:tc>
        <w:tc>
          <w:tcPr>
            <w:tcW w:w="4666" w:type="dxa"/>
            <w:tcBorders>
              <w:top w:val="nil"/>
            </w:tcBorders>
          </w:tcPr>
          <w:p>
            <w:pPr>
              <w:pStyle w:val="TableParagraph"/>
              <w:spacing w:before="67"/>
              <w:rPr>
                <w:sz w:val="20"/>
              </w:rPr>
            </w:pPr>
            <w:r>
              <w:rPr>
                <w:sz w:val="20"/>
              </w:rPr>
              <w:t>PIKE, Richard George</w:t>
            </w:r>
          </w:p>
        </w:tc>
      </w:tr>
    </w:tbl>
    <w:p>
      <w:pPr>
        <w:pStyle w:val="BodyText"/>
        <w:spacing w:before="5"/>
        <w:rPr>
          <w:sz w:val="19"/>
        </w:rPr>
      </w:pPr>
    </w:p>
    <w:p>
      <w:pPr>
        <w:pStyle w:val="BodyText"/>
        <w:spacing w:line="235" w:lineRule="auto"/>
        <w:ind w:left="1238" w:right="1608"/>
      </w:pPr>
      <w:r>
        <w:rPr/>
        <w:t>Any persons wishing to make written representation in respect of these applications should address the correspondence by 13 June 2011 to:</w:t>
      </w:r>
    </w:p>
    <w:p>
      <w:pPr>
        <w:pStyle w:val="BodyText"/>
        <w:spacing w:before="1"/>
        <w:rPr>
          <w:sz w:val="19"/>
        </w:rPr>
      </w:pPr>
    </w:p>
    <w:p>
      <w:pPr>
        <w:pStyle w:val="BodyText"/>
        <w:spacing w:line="233" w:lineRule="exact"/>
        <w:ind w:left="1238"/>
      </w:pPr>
      <w:r>
        <w:rPr/>
        <w:t>Broker Licensing</w:t>
      </w:r>
    </w:p>
    <w:p>
      <w:pPr>
        <w:pStyle w:val="BodyText"/>
        <w:spacing w:line="235" w:lineRule="auto" w:before="2"/>
        <w:ind w:left="1238" w:right="5844"/>
      </w:pPr>
      <w:r>
        <w:rPr/>
        <w:t>Australian Customs and Border Protection Service 5 Constitution Avenue</w:t>
      </w:r>
    </w:p>
    <w:p>
      <w:pPr>
        <w:pStyle w:val="BodyText"/>
        <w:spacing w:line="231" w:lineRule="exact"/>
        <w:ind w:left="1238"/>
      </w:pPr>
      <w:r>
        <w:rPr/>
        <w:t>CANBERRA ACT 2601</w:t>
      </w:r>
    </w:p>
    <w:p>
      <w:pPr>
        <w:pStyle w:val="BodyText"/>
        <w:rPr>
          <w:sz w:val="19"/>
        </w:rPr>
      </w:pPr>
    </w:p>
    <w:p>
      <w:pPr>
        <w:pStyle w:val="BodyText"/>
        <w:ind w:left="1238"/>
      </w:pPr>
      <w:r>
        <w:rPr/>
        <w:t>Or email: </w:t>
      </w:r>
      <w:hyperlink r:id="rId6">
        <w:r>
          <w:rPr>
            <w:color w:val="0000FF"/>
            <w:u w:val="single" w:color="0000FF"/>
          </w:rPr>
          <w:t>brokers.licensing@customs.gov.au</w:t>
        </w:r>
      </w:hyperlink>
    </w:p>
    <w:p>
      <w:pPr>
        <w:pStyle w:val="BodyText"/>
        <w:spacing w:before="9"/>
        <w:rPr>
          <w:sz w:val="13"/>
        </w:rPr>
      </w:pPr>
    </w:p>
    <w:p>
      <w:pPr>
        <w:pStyle w:val="BodyText"/>
        <w:spacing w:line="235" w:lineRule="auto" w:before="68"/>
        <w:ind w:left="1238" w:right="199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left="1238" w:right="1997"/>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11"/>
        <w:rPr>
          <w:sz w:val="17"/>
        </w:rPr>
      </w:pPr>
    </w:p>
    <w:p>
      <w:pPr>
        <w:pStyle w:val="BodyText"/>
        <w:spacing w:line="233" w:lineRule="exact"/>
        <w:ind w:left="1238"/>
      </w:pPr>
      <w:r>
        <w:rPr/>
        <w:t>Kim Marshall</w:t>
      </w:r>
    </w:p>
    <w:p>
      <w:pPr>
        <w:pStyle w:val="BodyText"/>
        <w:spacing w:line="235" w:lineRule="auto" w:before="1"/>
        <w:ind w:left="1238" w:right="6800"/>
      </w:pPr>
      <w:r>
        <w:rPr/>
        <w:t>Director Compliance Assurance Branch For Chief Executive Officer</w:t>
      </w:r>
    </w:p>
    <w:p>
      <w:pPr>
        <w:pStyle w:val="BodyText"/>
        <w:spacing w:line="231" w:lineRule="exact"/>
        <w:ind w:left="1238"/>
      </w:pPr>
      <w:r>
        <w:rPr/>
        <w:t>24 May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3077"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2011.0x.doc</dc:title>
  <dcterms:created xsi:type="dcterms:W3CDTF">2020-12-09T23:10:28Z</dcterms:created>
  <dcterms:modified xsi:type="dcterms:W3CDTF">2020-12-09T23:10:28Z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2011-05-26T00:00:00Z</vt:filetime>
  </property>
  <property fmtid="{D5CDD505-2E9C-101B-9397-08002B2CF9AE}" pid="3" name="Creator">
    <vt:lpwstr>PScript5.dll Version 5.2.2</vt:lpwstr>
  </property>
  <property fmtid="{D5CDD505-2E9C-101B-9397-08002B2CF9AE}" pid="4" name="LastSaved">
    <vt:filetime>2020-12-09T00:00:00Z</vt:filetime>
  </property>
</Properties>
</file>