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10"/>
        <w:rPr>
          <w:rFonts w:ascii="Times New Roman"/>
          <w:sz w:val="7"/>
        </w:rPr>
      </w:pPr>
    </w:p>
    <w:p>
      <w:pPr>
        <w:pStyle w:val="Title"/>
      </w:pPr>
      <w:bookmarkStart w:name="AUSTRALIAN CUSTOMS AND BORDER PROTECTION" w:id="1"/>
      <w:bookmarkEnd w:id="1"/>
      <w:r>
        <w:rPr>
          <w:b w:val="0"/>
        </w:rPr>
      </w:r>
      <w:r>
        <w:rPr/>
        <w:t>AUSTRALIAN CUSTOMS AND BORDER PROTECTION NOTICE NO. 2011/57</w:t>
      </w:r>
    </w:p>
    <w:p>
      <w:pPr>
        <w:pStyle w:val="BodyText"/>
        <w:spacing w:line="20" w:lineRule="exact"/>
        <w:ind w:left="890"/>
        <w:rPr>
          <w:sz w:val="2"/>
        </w:rPr>
      </w:pPr>
      <w:r>
        <w:rPr>
          <w:sz w:val="2"/>
        </w:rPr>
        <w:pict>
          <v:group style="width:480pt;height:.5pt;mso-position-horizontal-relative:char;mso-position-vertical-relative:line" coordorigin="0,0" coordsize="9600,10">
            <v:rect style="position:absolute;left:0;top:0;width:9600;height:10" filled="true" fillcolor="#000000" stroked="false">
              <v:fill type="solid"/>
            </v:rect>
          </v:group>
        </w:pict>
      </w:r>
      <w:r>
        <w:rPr>
          <w:sz w:val="2"/>
        </w:rPr>
      </w:r>
    </w:p>
    <w:p>
      <w:pPr>
        <w:pStyle w:val="BodyText"/>
        <w:spacing w:before="4"/>
        <w:rPr>
          <w:b/>
          <w:sz w:val="15"/>
        </w:rPr>
      </w:pPr>
    </w:p>
    <w:p>
      <w:pPr>
        <w:spacing w:before="92"/>
        <w:ind w:left="920" w:right="1802" w:firstLine="0"/>
        <w:jc w:val="left"/>
        <w:rPr>
          <w:b/>
          <w:sz w:val="26"/>
        </w:rPr>
      </w:pPr>
      <w:r>
        <w:rPr>
          <w:b/>
          <w:sz w:val="26"/>
        </w:rPr>
        <w:t>Harmonized System 2012 tariff changes – implications for Tariff Concession Orders, Tariff Advices, precedents and other tariff changes for 1 January 2012</w:t>
      </w:r>
    </w:p>
    <w:p>
      <w:pPr>
        <w:pStyle w:val="Heading1"/>
        <w:spacing w:before="228"/>
      </w:pPr>
      <w:r>
        <w:rPr/>
        <w:t>HS2012 related changes</w:t>
      </w:r>
    </w:p>
    <w:p>
      <w:pPr>
        <w:pStyle w:val="BodyText"/>
        <w:spacing w:before="230"/>
        <w:ind w:left="919" w:right="1204"/>
      </w:pPr>
      <w:r>
        <w:rPr/>
        <w:t>Australian Customs and Border Protection Notices Nos. 2011/12 and 2011/50 provide advice on amendments to the </w:t>
      </w:r>
      <w:r>
        <w:rPr>
          <w:i/>
        </w:rPr>
        <w:t>Customs Tariff Act 1995 </w:t>
      </w:r>
      <w:r>
        <w:rPr/>
        <w:t>(the Customs Tariff) contained in the </w:t>
      </w:r>
      <w:r>
        <w:rPr>
          <w:i/>
        </w:rPr>
        <w:t>Customs Tariff Amendment (2012 Harmonized System Changes) Act 2011 </w:t>
      </w:r>
      <w:r>
        <w:rPr/>
        <w:t>(HS2012 Act). Those amendments reflect changes arising out of the fourth review by the World Customs Organization (WCO) of the International Convention on the Harmonized Commodity Description and Coding System. These changes (the HS2012 changes) will enter into force on 1 January 2012.</w:t>
      </w:r>
    </w:p>
    <w:p>
      <w:pPr>
        <w:pStyle w:val="BodyText"/>
      </w:pPr>
    </w:p>
    <w:p>
      <w:pPr>
        <w:pStyle w:val="BodyText"/>
        <w:ind w:left="919" w:right="1204"/>
      </w:pPr>
      <w:r>
        <w:rPr/>
        <w:t>This Notice provides further advice on changes to Customs’ instruments and decisions, that result from the HS2012 changes, including Tariff Concession Orders (TCOs), Tariff Precedents and Tariff Advices (TAs).</w:t>
      </w:r>
    </w:p>
    <w:p>
      <w:pPr>
        <w:pStyle w:val="BodyText"/>
      </w:pPr>
    </w:p>
    <w:p>
      <w:pPr>
        <w:pStyle w:val="BodyText"/>
        <w:ind w:left="919" w:right="1860"/>
      </w:pPr>
      <w:r>
        <w:rPr/>
        <w:t>This Notice also provides information on other changes to the Customs Tariff that will take effect on 1 January 2012.</w:t>
      </w:r>
    </w:p>
    <w:p>
      <w:pPr>
        <w:pStyle w:val="BodyText"/>
        <w:spacing w:before="1"/>
      </w:pPr>
    </w:p>
    <w:p>
      <w:pPr>
        <w:pStyle w:val="Heading2"/>
      </w:pPr>
      <w:r>
        <w:rPr/>
        <w:t>Tariff Concession Orders</w:t>
      </w:r>
    </w:p>
    <w:p>
      <w:pPr>
        <w:pStyle w:val="BodyText"/>
        <w:spacing w:before="10"/>
        <w:rPr>
          <w:b/>
          <w:sz w:val="19"/>
        </w:rPr>
      </w:pPr>
    </w:p>
    <w:p>
      <w:pPr>
        <w:pStyle w:val="BodyText"/>
        <w:ind w:left="919" w:right="1104"/>
      </w:pPr>
      <w:r>
        <w:rPr/>
        <w:t>Customs and Border Protection has completed a review of Tariff Concession Orders (TCOs) affected by the HS2012 changes. Attachment A provides a concordance of TCOs to be revoked and replaced with one or more new TCOs under the appropriate HS2012 tariff classifications, with effect from 1 January 2012.</w:t>
      </w:r>
    </w:p>
    <w:p>
      <w:pPr>
        <w:pStyle w:val="BodyText"/>
        <w:spacing w:before="1"/>
      </w:pPr>
    </w:p>
    <w:p>
      <w:pPr>
        <w:pStyle w:val="BodyText"/>
        <w:ind w:left="919" w:right="1559"/>
      </w:pPr>
      <w:r>
        <w:rPr/>
        <w:t>The Tariff Concessions Gazette of 4 January 2012 will advise of the revocation of the HS2012 affected TCOs. It will also advise the replacement TCOs.</w:t>
      </w:r>
    </w:p>
    <w:p>
      <w:pPr>
        <w:pStyle w:val="BodyText"/>
        <w:spacing w:before="1"/>
      </w:pPr>
    </w:p>
    <w:p>
      <w:pPr>
        <w:pStyle w:val="Heading2"/>
        <w:spacing w:before="1"/>
      </w:pPr>
      <w:r>
        <w:rPr/>
        <w:t>Tariff Precedents</w:t>
      </w:r>
    </w:p>
    <w:p>
      <w:pPr>
        <w:pStyle w:val="BodyText"/>
        <w:spacing w:before="9"/>
        <w:rPr>
          <w:b/>
          <w:sz w:val="19"/>
        </w:rPr>
      </w:pPr>
    </w:p>
    <w:p>
      <w:pPr>
        <w:pStyle w:val="BodyText"/>
        <w:spacing w:before="1"/>
        <w:ind w:left="919" w:right="1281"/>
      </w:pPr>
      <w:r>
        <w:rPr/>
        <w:t>Customs and Border Protection has reviewed existing Tariff Precedents and identified ten precedents that are HS2012 affected. These precedents will be altered after 1 January 2012 as per the table at Attachment B.</w:t>
      </w:r>
    </w:p>
    <w:p>
      <w:pPr>
        <w:pStyle w:val="BodyText"/>
        <w:spacing w:before="1"/>
      </w:pPr>
    </w:p>
    <w:p>
      <w:pPr>
        <w:pStyle w:val="Heading2"/>
        <w:spacing w:before="1"/>
      </w:pPr>
      <w:r>
        <w:rPr/>
        <w:t>Tariff Advices</w:t>
      </w:r>
    </w:p>
    <w:p>
      <w:pPr>
        <w:pStyle w:val="BodyText"/>
        <w:spacing w:before="9"/>
        <w:rPr>
          <w:b/>
          <w:sz w:val="19"/>
        </w:rPr>
      </w:pPr>
    </w:p>
    <w:p>
      <w:pPr>
        <w:pStyle w:val="BodyText"/>
        <w:spacing w:before="1"/>
        <w:ind w:left="919" w:right="1827"/>
      </w:pPr>
      <w:r>
        <w:rPr/>
        <w:t>In December 2011, Customs and Border Protection will void approximately 940 Tariff Advices (TAs) affected by the HS2012 changes.</w:t>
      </w:r>
    </w:p>
    <w:p>
      <w:pPr>
        <w:pStyle w:val="BodyText"/>
      </w:pPr>
    </w:p>
    <w:p>
      <w:pPr>
        <w:pStyle w:val="BodyText"/>
        <w:ind w:left="919" w:right="1220"/>
        <w:jc w:val="both"/>
      </w:pPr>
      <w:r>
        <w:rPr/>
        <w:t>Customs and Border Protection will notify importers by mail before 15 December 2011 regarding TAs to be voided. Importers who wish to seek a new TA to replace a voided TA will need to submit new applications through TAPIN on or after 1 January 2012.</w:t>
      </w:r>
    </w:p>
    <w:p>
      <w:pPr>
        <w:pStyle w:val="BodyText"/>
      </w:pPr>
    </w:p>
    <w:p>
      <w:pPr>
        <w:pStyle w:val="BodyText"/>
        <w:spacing w:before="1"/>
        <w:ind w:left="919" w:right="1436"/>
      </w:pPr>
      <w:r>
        <w:rPr/>
        <w:t>TAPIN will reject TA applications submitted before 1 January 2012 that refer to new tariff classifications operative from that date. Importers should review new Tariff Precedents before applying for new TAs. A list of the tariff classifications from which TAs will be voided is at Attachment C for information.</w:t>
      </w:r>
    </w:p>
    <w:p>
      <w:pPr>
        <w:spacing w:after="0"/>
        <w:sectPr>
          <w:type w:val="continuous"/>
          <w:pgSz w:w="11910" w:h="16840"/>
          <w:pgMar w:top="1140" w:bottom="280" w:left="160" w:right="180"/>
        </w:sectPr>
      </w:pPr>
    </w:p>
    <w:p>
      <w:pPr>
        <w:pStyle w:val="BodyText"/>
        <w:spacing w:before="10"/>
        <w:rPr>
          <w:sz w:val="11"/>
        </w:rPr>
      </w:pPr>
    </w:p>
    <w:p>
      <w:pPr>
        <w:pStyle w:val="Heading2"/>
        <w:spacing w:before="94"/>
      </w:pPr>
      <w:r>
        <w:rPr/>
        <w:t>Customs Regulation Amendments</w:t>
      </w:r>
    </w:p>
    <w:p>
      <w:pPr>
        <w:pStyle w:val="BodyText"/>
        <w:rPr>
          <w:b/>
        </w:rPr>
      </w:pPr>
    </w:p>
    <w:p>
      <w:pPr>
        <w:pStyle w:val="BodyText"/>
        <w:ind w:left="919" w:right="1802"/>
      </w:pPr>
      <w:r>
        <w:rPr/>
        <w:t>The HS2012 Act amends a number of tariff subheadings that are referred to in the </w:t>
      </w:r>
      <w:r>
        <w:rPr>
          <w:i/>
        </w:rPr>
        <w:t>Customs Regulations 1926</w:t>
      </w:r>
      <w:r>
        <w:rPr/>
        <w:t>. Those Regulations will be amended to reflect the revised subheading numbers.</w:t>
      </w:r>
    </w:p>
    <w:p>
      <w:pPr>
        <w:pStyle w:val="BodyText"/>
        <w:spacing w:before="1"/>
      </w:pPr>
    </w:p>
    <w:p>
      <w:pPr>
        <w:pStyle w:val="Heading2"/>
      </w:pPr>
      <w:r>
        <w:rPr/>
        <w:t>Customs Tariff Regulation Amendments</w:t>
      </w:r>
    </w:p>
    <w:p>
      <w:pPr>
        <w:pStyle w:val="BodyText"/>
        <w:spacing w:before="9"/>
        <w:rPr>
          <w:b/>
          <w:sz w:val="21"/>
        </w:rPr>
      </w:pPr>
    </w:p>
    <w:p>
      <w:pPr>
        <w:pStyle w:val="BodyText"/>
        <w:spacing w:before="1"/>
        <w:ind w:left="920" w:right="1436"/>
      </w:pPr>
      <w:r>
        <w:rPr/>
        <w:t>The HS2012 Act referred to “prescribed goods” for certain items in Schedules 5, 7 and 8 of the Customs Tariff. These items are applicable to sanitary articles of the new tariff heading 9619.</w:t>
      </w:r>
    </w:p>
    <w:p>
      <w:pPr>
        <w:pStyle w:val="BodyText"/>
      </w:pPr>
    </w:p>
    <w:p>
      <w:pPr>
        <w:pStyle w:val="BodyText"/>
        <w:ind w:left="920" w:right="1204"/>
      </w:pPr>
      <w:r>
        <w:rPr/>
        <w:t>The Tariff Working Pages, previously distributed, indicated that the text for those prescribed goods would be set out in the </w:t>
      </w:r>
      <w:r>
        <w:rPr>
          <w:i/>
        </w:rPr>
        <w:t>Customs Tariff Regulations 2004</w:t>
      </w:r>
      <w:r>
        <w:rPr/>
        <w:t>. Those texts have now been finalised and Customs and Border Protection will issue replacement Tariff Working Pages in the week commencing 5 December.</w:t>
      </w:r>
    </w:p>
    <w:p>
      <w:pPr>
        <w:pStyle w:val="BodyText"/>
        <w:spacing w:before="1"/>
        <w:rPr>
          <w:sz w:val="22"/>
        </w:rPr>
      </w:pPr>
    </w:p>
    <w:p>
      <w:pPr>
        <w:pStyle w:val="Heading2"/>
        <w:ind w:left="920"/>
      </w:pPr>
      <w:r>
        <w:rPr/>
        <w:t>By-Laws HS2012</w:t>
      </w:r>
    </w:p>
    <w:p>
      <w:pPr>
        <w:pStyle w:val="BodyText"/>
        <w:spacing w:before="10"/>
        <w:rPr>
          <w:b/>
          <w:sz w:val="19"/>
        </w:rPr>
      </w:pPr>
    </w:p>
    <w:p>
      <w:pPr>
        <w:pStyle w:val="BodyText"/>
        <w:ind w:left="920" w:right="1125"/>
      </w:pPr>
      <w:r>
        <w:rPr/>
        <w:t>The changes under the HS2012 Act affect the tariff headings and subheadings to which existing by-law Nos. 0618807, 9940022 and 9840006 apply. These by-laws relate to items 36 and 40A of Schedule 4 to the Customs Tariff Act, respectively. These items set out concessional rates of duty for goods specified in each respective item, as prescribed by</w:t>
      </w:r>
      <w:r>
        <w:rPr>
          <w:spacing w:val="-7"/>
        </w:rPr>
        <w:t> </w:t>
      </w:r>
      <w:r>
        <w:rPr/>
        <w:t>by-law.</w:t>
      </w:r>
    </w:p>
    <w:p>
      <w:pPr>
        <w:pStyle w:val="BodyText"/>
      </w:pPr>
    </w:p>
    <w:p>
      <w:pPr>
        <w:pStyle w:val="BodyText"/>
        <w:ind w:left="920"/>
      </w:pPr>
      <w:r>
        <w:rPr/>
        <w:t>New by-laws Nos. 1134474, 1134476 and 1134478 will be created to replace existing by-laws</w:t>
      </w:r>
    </w:p>
    <w:p>
      <w:pPr>
        <w:pStyle w:val="BodyText"/>
        <w:spacing w:before="1"/>
        <w:ind w:left="920" w:right="1290"/>
      </w:pPr>
      <w:r>
        <w:rPr/>
        <w:t>Nos. 0618807, 9940022 and 9840006, respectively. The new by-laws incorporate the changes to the tariff headings and subheadings under the HS2012 Act, but are otherwise unchanged.</w:t>
      </w:r>
    </w:p>
    <w:p>
      <w:pPr>
        <w:pStyle w:val="BodyText"/>
        <w:spacing w:before="1"/>
      </w:pPr>
    </w:p>
    <w:p>
      <w:pPr>
        <w:pStyle w:val="Heading2"/>
        <w:ind w:left="920"/>
      </w:pPr>
      <w:r>
        <w:rPr/>
        <w:t>Import declarations</w:t>
      </w:r>
    </w:p>
    <w:p>
      <w:pPr>
        <w:pStyle w:val="BodyText"/>
        <w:spacing w:before="10"/>
        <w:rPr>
          <w:b/>
          <w:sz w:val="19"/>
        </w:rPr>
      </w:pPr>
    </w:p>
    <w:p>
      <w:pPr>
        <w:pStyle w:val="BodyText"/>
        <w:ind w:left="920" w:right="1114"/>
      </w:pPr>
      <w:r>
        <w:rPr/>
        <w:t>Once the TA voiding process commences in December 2011, importers should take care when quoting TAs on import declarations. The Integrated Cargo System (ICS) will reject an import declaration that quotes a voided TA in the TA field of a tariff line. Importers who need to rely on a TA after it has been voided as part of the HS2012 process should quote that TA in the goods description field of the relevant tariff line, rather than in the TA field, until 31 December 2011.</w:t>
      </w:r>
    </w:p>
    <w:p>
      <w:pPr>
        <w:pStyle w:val="BodyText"/>
      </w:pPr>
    </w:p>
    <w:p>
      <w:pPr>
        <w:pStyle w:val="BodyText"/>
        <w:spacing w:before="1"/>
        <w:ind w:left="920" w:right="1269"/>
      </w:pPr>
      <w:r>
        <w:rPr/>
        <w:t>From 1 January 2012, importers will not be able to rely on TAs voided as part of the HS2012 process, and should not quote those TAs on import declarations made on and from that date.</w:t>
      </w:r>
    </w:p>
    <w:p>
      <w:pPr>
        <w:pStyle w:val="BodyText"/>
      </w:pPr>
    </w:p>
    <w:p>
      <w:pPr>
        <w:pStyle w:val="BodyText"/>
        <w:ind w:left="920" w:right="1213"/>
      </w:pPr>
      <w:r>
        <w:rPr/>
        <w:t>Importers should also take care when quoting tariff classifications and TCOs on import declarations made on and from 1 January 2012, as the ICS will not accept those declarations if they quote tariff classifications repealed or TCOs revoked as a result of the HS2012 changes.</w:t>
      </w:r>
    </w:p>
    <w:p>
      <w:pPr>
        <w:pStyle w:val="BodyText"/>
      </w:pPr>
    </w:p>
    <w:p>
      <w:pPr>
        <w:pStyle w:val="Heading1"/>
      </w:pPr>
      <w:r>
        <w:rPr/>
        <w:t>Other tariff, duty rate and statistical code changes for 1 January 2012</w:t>
      </w:r>
    </w:p>
    <w:p>
      <w:pPr>
        <w:pStyle w:val="BodyText"/>
        <w:spacing w:before="228"/>
        <w:ind w:left="920"/>
      </w:pPr>
      <w:r>
        <w:rPr>
          <w:u w:val="single"/>
        </w:rPr>
        <w:t>Changes to concessional items of Schedule 4 of the Customs Tariff and associated by-laws</w:t>
      </w:r>
      <w:r>
        <w:rPr/>
        <w:t>:</w:t>
      </w:r>
    </w:p>
    <w:p>
      <w:pPr>
        <w:pStyle w:val="BodyText"/>
        <w:spacing w:before="3"/>
        <w:rPr>
          <w:sz w:val="21"/>
        </w:rPr>
      </w:pPr>
    </w:p>
    <w:p>
      <w:pPr>
        <w:pStyle w:val="ListParagraph"/>
        <w:numPr>
          <w:ilvl w:val="0"/>
          <w:numId w:val="1"/>
        </w:numPr>
        <w:tabs>
          <w:tab w:pos="1279" w:val="left" w:leader="none"/>
          <w:tab w:pos="1281" w:val="left" w:leader="none"/>
        </w:tabs>
        <w:spacing w:line="240" w:lineRule="auto" w:before="0" w:after="0"/>
        <w:ind w:left="1279" w:right="1134" w:hanging="360"/>
        <w:jc w:val="left"/>
        <w:rPr>
          <w:sz w:val="20"/>
        </w:rPr>
      </w:pPr>
      <w:r>
        <w:rPr>
          <w:sz w:val="20"/>
        </w:rPr>
        <w:t>Item 41E (Automotive Competitiveness and Investment Scheme (ACIS)) - ACBPN 2011/42 advised of the closure of the Automotive Competitiveness and Investment Scheme (ACIS). ACIS credits expire on 31 December 2011. Item 41E in Schedule 4 of the Customs Tariff provided the administrative mechanism for ACIS. Treatment codes 611 and 612 that are linked to item 41E in Schedule 4 of the Customs Tariff will also cease to operate on 1 January</w:t>
      </w:r>
      <w:r>
        <w:rPr>
          <w:spacing w:val="-11"/>
          <w:sz w:val="20"/>
        </w:rPr>
        <w:t> </w:t>
      </w:r>
      <w:r>
        <w:rPr>
          <w:sz w:val="20"/>
        </w:rPr>
        <w:t>2012.</w:t>
      </w:r>
    </w:p>
    <w:p>
      <w:pPr>
        <w:pStyle w:val="BodyText"/>
        <w:spacing w:before="2"/>
        <w:rPr>
          <w:sz w:val="21"/>
        </w:rPr>
      </w:pPr>
    </w:p>
    <w:p>
      <w:pPr>
        <w:pStyle w:val="ListParagraph"/>
        <w:numPr>
          <w:ilvl w:val="0"/>
          <w:numId w:val="1"/>
        </w:numPr>
        <w:tabs>
          <w:tab w:pos="1279" w:val="left" w:leader="none"/>
          <w:tab w:pos="1281" w:val="left" w:leader="none"/>
        </w:tabs>
        <w:spacing w:line="240" w:lineRule="auto" w:before="0" w:after="0"/>
        <w:ind w:left="1279" w:right="1568" w:hanging="360"/>
        <w:jc w:val="left"/>
        <w:rPr>
          <w:sz w:val="20"/>
        </w:rPr>
      </w:pPr>
      <w:r>
        <w:rPr>
          <w:sz w:val="20"/>
        </w:rPr>
        <w:t>Customs By-law No.0040028 was made for the purposes of item 41E of Schedule 4 and applied to goods imported under ACIS. By-law No.0040028 is not required after 31 December</w:t>
      </w:r>
      <w:r>
        <w:rPr>
          <w:spacing w:val="-20"/>
          <w:sz w:val="20"/>
        </w:rPr>
        <w:t> </w:t>
      </w:r>
      <w:r>
        <w:rPr>
          <w:sz w:val="20"/>
        </w:rPr>
        <w:t>2011.</w:t>
      </w:r>
    </w:p>
    <w:p>
      <w:pPr>
        <w:pStyle w:val="BodyText"/>
        <w:spacing w:before="2"/>
        <w:rPr>
          <w:sz w:val="21"/>
        </w:rPr>
      </w:pPr>
    </w:p>
    <w:p>
      <w:pPr>
        <w:pStyle w:val="ListParagraph"/>
        <w:numPr>
          <w:ilvl w:val="0"/>
          <w:numId w:val="1"/>
        </w:numPr>
        <w:tabs>
          <w:tab w:pos="1279" w:val="left" w:leader="none"/>
          <w:tab w:pos="1281" w:val="left" w:leader="none"/>
        </w:tabs>
        <w:spacing w:line="240" w:lineRule="auto" w:before="0" w:after="0"/>
        <w:ind w:left="1279" w:right="1479" w:hanging="360"/>
        <w:jc w:val="left"/>
        <w:rPr>
          <w:sz w:val="20"/>
        </w:rPr>
      </w:pPr>
      <w:r>
        <w:rPr/>
        <w:pict>
          <v:rect style="position:absolute;margin-left:174.839996pt;margin-top:10.423582pt;width:2.76pt;height:.72pt;mso-position-horizontal-relative:page;mso-position-vertical-relative:paragraph;z-index:-16689152" filled="true" fillcolor="#000000" stroked="false">
            <v:fill type="solid"/>
            <w10:wrap type="none"/>
          </v:rect>
        </w:pict>
      </w:r>
      <w:r>
        <w:rPr>
          <w:sz w:val="20"/>
        </w:rPr>
        <w:t>Item 68 (SPARTECA) - The SPARTECA (TCF Provisions) Scheme administered through item 68 of Schedule 4 of the Customs Tariff is due to expire on 31 December 2011. Consequently, treatment code 468 that gives effect to this Scheme will cease to operate from 1 January</w:t>
      </w:r>
      <w:r>
        <w:rPr>
          <w:spacing w:val="-23"/>
          <w:sz w:val="20"/>
        </w:rPr>
        <w:t> </w:t>
      </w:r>
      <w:r>
        <w:rPr>
          <w:sz w:val="20"/>
        </w:rPr>
        <w:t>2012.</w:t>
      </w:r>
    </w:p>
    <w:p>
      <w:pPr>
        <w:pStyle w:val="BodyText"/>
      </w:pPr>
    </w:p>
    <w:p>
      <w:pPr>
        <w:pStyle w:val="BodyText"/>
        <w:ind w:left="920"/>
      </w:pPr>
      <w:r>
        <w:rPr>
          <w:w w:val="100"/>
        </w:rPr>
        <w:t>.</w:t>
      </w:r>
    </w:p>
    <w:p>
      <w:pPr>
        <w:spacing w:after="0"/>
        <w:sectPr>
          <w:headerReference w:type="default" r:id="rId6"/>
          <w:pgSz w:w="11910" w:h="16840"/>
          <w:pgMar w:header="1137" w:footer="0" w:top="1360" w:bottom="280" w:left="160" w:right="180"/>
          <w:pgNumType w:start="2"/>
        </w:sectPr>
      </w:pPr>
    </w:p>
    <w:p>
      <w:pPr>
        <w:pStyle w:val="BodyText"/>
        <w:spacing w:before="2"/>
        <w:rPr>
          <w:sz w:val="11"/>
        </w:rPr>
      </w:pPr>
    </w:p>
    <w:p>
      <w:pPr>
        <w:pStyle w:val="ListParagraph"/>
        <w:numPr>
          <w:ilvl w:val="0"/>
          <w:numId w:val="1"/>
        </w:numPr>
        <w:tabs>
          <w:tab w:pos="1279" w:val="left" w:leader="none"/>
          <w:tab w:pos="1280" w:val="left" w:leader="none"/>
        </w:tabs>
        <w:spacing w:line="240" w:lineRule="auto" w:before="114" w:after="0"/>
        <w:ind w:left="1279" w:right="1112" w:hanging="360"/>
        <w:jc w:val="left"/>
        <w:rPr>
          <w:sz w:val="20"/>
        </w:rPr>
      </w:pPr>
      <w:r>
        <w:rPr>
          <w:sz w:val="20"/>
        </w:rPr>
        <w:t>Customs By-law No.0618808 was made for the purposes of item 73 of Schedule 4 and applies to goods as defined in the Product Diversification Scheme for certain clothing and finished textiles. The </w:t>
      </w:r>
      <w:r>
        <w:rPr>
          <w:i/>
          <w:sz w:val="20"/>
        </w:rPr>
        <w:t>Customs Tariff Amendment Act (No. 1) 2010 </w:t>
      </w:r>
      <w:r>
        <w:rPr>
          <w:sz w:val="20"/>
        </w:rPr>
        <w:t>amends the end-date of item 73 from 30 June 2017 to 30 June 2011. Consequently, By-law No.0618808 became redundant after 30 June 2011. This by-law will be formally</w:t>
      </w:r>
      <w:r>
        <w:rPr>
          <w:spacing w:val="-1"/>
          <w:sz w:val="20"/>
        </w:rPr>
        <w:t> </w:t>
      </w:r>
      <w:r>
        <w:rPr>
          <w:sz w:val="20"/>
        </w:rPr>
        <w:t>revoked.</w:t>
      </w:r>
    </w:p>
    <w:p>
      <w:pPr>
        <w:pStyle w:val="BodyText"/>
      </w:pPr>
    </w:p>
    <w:p>
      <w:pPr>
        <w:pStyle w:val="BodyText"/>
        <w:spacing w:before="1"/>
        <w:ind w:left="920"/>
      </w:pPr>
      <w:r>
        <w:rPr>
          <w:u w:val="single"/>
        </w:rPr>
        <w:t>Reduction of duty rates under free trade agreements</w:t>
      </w:r>
    </w:p>
    <w:p>
      <w:pPr>
        <w:pStyle w:val="BodyText"/>
        <w:spacing w:before="10"/>
        <w:rPr>
          <w:sz w:val="11"/>
        </w:rPr>
      </w:pPr>
    </w:p>
    <w:p>
      <w:pPr>
        <w:pStyle w:val="BodyText"/>
        <w:spacing w:before="94"/>
        <w:ind w:left="919" w:right="1325"/>
      </w:pPr>
      <w:r>
        <w:rPr/>
        <w:t>Schedules 5, 7 and 8 of the Customs Tariff Working Pages specify phasing rates of duty for certain US, Chilean and AANZ originating goods, including footwear from the US, Chilean grapes and certain apparel items from the AANZ Free Trade Agreement. These phasing rates apply to goods entered for home consumption on or after 1 January 2012.</w:t>
      </w:r>
    </w:p>
    <w:p>
      <w:pPr>
        <w:pStyle w:val="BodyText"/>
        <w:spacing w:before="11"/>
        <w:rPr>
          <w:sz w:val="19"/>
        </w:rPr>
      </w:pPr>
    </w:p>
    <w:p>
      <w:pPr>
        <w:pStyle w:val="BodyText"/>
        <w:spacing w:line="480" w:lineRule="auto"/>
        <w:ind w:left="919" w:right="2927"/>
      </w:pPr>
      <w:r>
        <w:rPr/>
        <w:t>The Integrated Cargo System will apply these rates automatically from 1 January 2012. </w:t>
      </w:r>
      <w:r>
        <w:rPr>
          <w:u w:val="single"/>
        </w:rPr>
        <w:t>Other statistical code changes</w:t>
      </w:r>
    </w:p>
    <w:p>
      <w:pPr>
        <w:pStyle w:val="BodyText"/>
        <w:ind w:left="920" w:right="1104"/>
      </w:pPr>
      <w:r>
        <w:rPr/>
        <w:t>The Australian Bureau of Statistics has also advised of additional changes to the statistical codes contained in the Tariff Working Pages for 1 January 2012. These additional changes affect the following subheadings:</w:t>
      </w:r>
    </w:p>
    <w:p>
      <w:pPr>
        <w:pStyle w:val="BodyText"/>
        <w:spacing w:before="2"/>
        <w:rPr>
          <w:sz w:val="21"/>
        </w:rPr>
      </w:pPr>
    </w:p>
    <w:p>
      <w:pPr>
        <w:pStyle w:val="ListParagraph"/>
        <w:numPr>
          <w:ilvl w:val="0"/>
          <w:numId w:val="1"/>
        </w:numPr>
        <w:tabs>
          <w:tab w:pos="1279" w:val="left" w:leader="none"/>
          <w:tab w:pos="1281" w:val="left" w:leader="none"/>
        </w:tabs>
        <w:spacing w:line="240" w:lineRule="auto" w:before="0" w:after="0"/>
        <w:ind w:left="1279" w:right="1235" w:hanging="360"/>
        <w:jc w:val="left"/>
        <w:rPr>
          <w:sz w:val="20"/>
        </w:rPr>
      </w:pPr>
      <w:r>
        <w:rPr>
          <w:sz w:val="20"/>
        </w:rPr>
        <w:t>Subheading 2008.60.00 (preserved cherries); for new statistical code 35, the unit of quantity should be litres not kilograms;</w:t>
      </w:r>
      <w:r>
        <w:rPr>
          <w:spacing w:val="-4"/>
          <w:sz w:val="20"/>
        </w:rPr>
        <w:t> </w:t>
      </w:r>
      <w:r>
        <w:rPr>
          <w:sz w:val="20"/>
        </w:rPr>
        <w:t>and</w:t>
      </w:r>
    </w:p>
    <w:p>
      <w:pPr>
        <w:pStyle w:val="BodyText"/>
        <w:spacing w:before="2"/>
        <w:rPr>
          <w:sz w:val="21"/>
        </w:rPr>
      </w:pPr>
    </w:p>
    <w:p>
      <w:pPr>
        <w:pStyle w:val="ListParagraph"/>
        <w:numPr>
          <w:ilvl w:val="0"/>
          <w:numId w:val="1"/>
        </w:numPr>
        <w:tabs>
          <w:tab w:pos="1279" w:val="left" w:leader="none"/>
          <w:tab w:pos="1281" w:val="left" w:leader="none"/>
        </w:tabs>
        <w:spacing w:line="240" w:lineRule="auto" w:before="0" w:after="0"/>
        <w:ind w:left="1280" w:right="1414" w:hanging="361"/>
        <w:jc w:val="left"/>
        <w:rPr>
          <w:sz w:val="20"/>
        </w:rPr>
      </w:pPr>
      <w:r>
        <w:rPr>
          <w:sz w:val="20"/>
        </w:rPr>
        <w:t>Subheading 3702.54.00 (certain unexposed film); replace statistical code 33 with 38 (Unit of quantity remains</w:t>
      </w:r>
      <w:r>
        <w:rPr>
          <w:spacing w:val="-2"/>
          <w:sz w:val="20"/>
        </w:rPr>
        <w:t> </w:t>
      </w:r>
      <w:r>
        <w:rPr>
          <w:sz w:val="20"/>
        </w:rPr>
        <w:t>No.).</w:t>
      </w:r>
    </w:p>
    <w:p>
      <w:pPr>
        <w:pStyle w:val="BodyText"/>
      </w:pPr>
    </w:p>
    <w:p>
      <w:pPr>
        <w:pStyle w:val="BodyText"/>
        <w:ind w:left="920"/>
      </w:pPr>
      <w:r>
        <w:rPr>
          <w:u w:val="single"/>
        </w:rPr>
        <w:t>Alternative fuels legislation</w:t>
      </w:r>
    </w:p>
    <w:p>
      <w:pPr>
        <w:pStyle w:val="BodyText"/>
        <w:spacing w:before="9"/>
        <w:rPr>
          <w:sz w:val="11"/>
        </w:rPr>
      </w:pPr>
    </w:p>
    <w:p>
      <w:pPr>
        <w:spacing w:before="94"/>
        <w:ind w:left="920" w:right="0" w:firstLine="0"/>
        <w:jc w:val="left"/>
        <w:rPr>
          <w:i/>
          <w:sz w:val="20"/>
        </w:rPr>
      </w:pPr>
      <w:r>
        <w:rPr>
          <w:sz w:val="20"/>
        </w:rPr>
        <w:t>Importers are reminded that the </w:t>
      </w:r>
      <w:r>
        <w:rPr>
          <w:i/>
          <w:sz w:val="20"/>
        </w:rPr>
        <w:t>Customs Tariff Amendment (2012 Harmonized System Changes) Act 2011</w:t>
      </w:r>
    </w:p>
    <w:p>
      <w:pPr>
        <w:pStyle w:val="BodyText"/>
        <w:ind w:left="920" w:right="1492"/>
      </w:pPr>
      <w:r>
        <w:rPr/>
        <w:t>will make further changes to the Customs Tariff for petroleum products with effect from 1 January 2012. Australian Customs and Border Protection Notice 2011/47 refers.</w:t>
      </w:r>
    </w:p>
    <w:p>
      <w:pPr>
        <w:pStyle w:val="BodyText"/>
      </w:pPr>
    </w:p>
    <w:p>
      <w:pPr>
        <w:pStyle w:val="BodyText"/>
        <w:spacing w:before="1"/>
        <w:ind w:left="920" w:right="1592"/>
      </w:pPr>
      <w:r>
        <w:rPr/>
        <w:t>These changes are incorporated in the Customs Tariff Working pages distributed in early November in connection with the HS2012 changes.</w:t>
      </w:r>
    </w:p>
    <w:p>
      <w:pPr>
        <w:pStyle w:val="BodyText"/>
      </w:pPr>
    </w:p>
    <w:p>
      <w:pPr>
        <w:pStyle w:val="Heading1"/>
      </w:pPr>
      <w:r>
        <w:rPr/>
        <w:t>Customs Tariff Working Pages</w:t>
      </w:r>
    </w:p>
    <w:p>
      <w:pPr>
        <w:pStyle w:val="BodyText"/>
        <w:spacing w:before="229"/>
        <w:ind w:left="920"/>
      </w:pPr>
      <w:r>
        <w:rPr>
          <w:u w:val="single"/>
        </w:rPr>
        <w:t>Changes operative 1 January 2012</w:t>
      </w:r>
    </w:p>
    <w:p>
      <w:pPr>
        <w:pStyle w:val="BodyText"/>
        <w:spacing w:before="10"/>
        <w:rPr>
          <w:sz w:val="11"/>
        </w:rPr>
      </w:pPr>
    </w:p>
    <w:p>
      <w:pPr>
        <w:pStyle w:val="BodyText"/>
        <w:spacing w:before="94"/>
        <w:ind w:left="919" w:right="1204"/>
      </w:pPr>
      <w:r>
        <w:rPr/>
        <w:t>Customs and Border Protection will issue the following Customs Tariff Working Pages in the week commencing 5 December 2011 in connection with the changes mentioned above. Schedule 3 page 91/5 indicates that subheading 9114.20.00 is repealed.</w:t>
      </w:r>
    </w:p>
    <w:p>
      <w:pPr>
        <w:pStyle w:val="BodyText"/>
        <w:spacing w:before="5" w:after="1"/>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2100"/>
        <w:gridCol w:w="1780"/>
      </w:tblGrid>
      <w:tr>
        <w:trPr>
          <w:trHeight w:val="342" w:hRule="atLeast"/>
        </w:trPr>
        <w:tc>
          <w:tcPr>
            <w:tcW w:w="1900" w:type="dxa"/>
          </w:tcPr>
          <w:p>
            <w:pPr>
              <w:pStyle w:val="TableParagraph"/>
              <w:spacing w:line="224" w:lineRule="exact"/>
              <w:ind w:left="200"/>
              <w:rPr>
                <w:sz w:val="20"/>
              </w:rPr>
            </w:pPr>
            <w:bookmarkStart w:name="Schedule 3" w:id="2"/>
            <w:bookmarkEnd w:id="2"/>
            <w:r>
              <w:rPr/>
            </w:r>
            <w:r>
              <w:rPr>
                <w:sz w:val="20"/>
                <w:u w:val="single"/>
              </w:rPr>
              <w:t>Schedule 3</w:t>
            </w:r>
          </w:p>
        </w:tc>
        <w:tc>
          <w:tcPr>
            <w:tcW w:w="2100" w:type="dxa"/>
          </w:tcPr>
          <w:p>
            <w:pPr>
              <w:pStyle w:val="TableParagraph"/>
              <w:spacing w:line="240" w:lineRule="auto"/>
              <w:ind w:left="0"/>
              <w:rPr>
                <w:rFonts w:ascii="Times New Roman"/>
                <w:sz w:val="20"/>
              </w:rPr>
            </w:pPr>
          </w:p>
        </w:tc>
        <w:tc>
          <w:tcPr>
            <w:tcW w:w="1780" w:type="dxa"/>
          </w:tcPr>
          <w:p>
            <w:pPr>
              <w:pStyle w:val="TableParagraph"/>
              <w:spacing w:line="240" w:lineRule="auto"/>
              <w:ind w:left="0"/>
              <w:rPr>
                <w:rFonts w:ascii="Times New Roman"/>
                <w:sz w:val="20"/>
              </w:rPr>
            </w:pPr>
          </w:p>
        </w:tc>
      </w:tr>
      <w:tr>
        <w:trPr>
          <w:trHeight w:val="460" w:hRule="atLeast"/>
        </w:trPr>
        <w:tc>
          <w:tcPr>
            <w:tcW w:w="1900" w:type="dxa"/>
          </w:tcPr>
          <w:p>
            <w:pPr>
              <w:pStyle w:val="TableParagraph"/>
              <w:spacing w:line="240" w:lineRule="auto" w:before="112"/>
              <w:ind w:left="200"/>
              <w:rPr>
                <w:sz w:val="20"/>
              </w:rPr>
            </w:pPr>
            <w:r>
              <w:rPr>
                <w:sz w:val="20"/>
              </w:rPr>
              <w:t>20/5 (R.7)</w:t>
            </w:r>
          </w:p>
        </w:tc>
        <w:tc>
          <w:tcPr>
            <w:tcW w:w="2100" w:type="dxa"/>
          </w:tcPr>
          <w:p>
            <w:pPr>
              <w:pStyle w:val="TableParagraph"/>
              <w:spacing w:line="240" w:lineRule="auto" w:before="112"/>
              <w:ind w:left="387"/>
              <w:rPr>
                <w:sz w:val="20"/>
              </w:rPr>
            </w:pPr>
            <w:r>
              <w:rPr>
                <w:sz w:val="20"/>
              </w:rPr>
              <w:t>37/3 (R.7)</w:t>
            </w:r>
          </w:p>
        </w:tc>
        <w:tc>
          <w:tcPr>
            <w:tcW w:w="1780" w:type="dxa"/>
          </w:tcPr>
          <w:p>
            <w:pPr>
              <w:pStyle w:val="TableParagraph"/>
              <w:spacing w:line="240" w:lineRule="auto" w:before="112"/>
              <w:ind w:left="267"/>
              <w:rPr>
                <w:sz w:val="20"/>
              </w:rPr>
            </w:pPr>
            <w:r>
              <w:rPr>
                <w:sz w:val="20"/>
              </w:rPr>
              <w:t>91/5 (R.5)</w:t>
            </w:r>
          </w:p>
        </w:tc>
      </w:tr>
      <w:tr>
        <w:trPr>
          <w:trHeight w:val="459" w:hRule="atLeast"/>
        </w:trPr>
        <w:tc>
          <w:tcPr>
            <w:tcW w:w="1900" w:type="dxa"/>
          </w:tcPr>
          <w:p>
            <w:pPr>
              <w:pStyle w:val="TableParagraph"/>
              <w:spacing w:line="240" w:lineRule="auto" w:before="111"/>
              <w:ind w:left="200"/>
              <w:rPr>
                <w:sz w:val="20"/>
              </w:rPr>
            </w:pPr>
            <w:r>
              <w:rPr>
                <w:sz w:val="20"/>
                <w:u w:val="single"/>
              </w:rPr>
              <w:t>Schedule 5</w:t>
            </w:r>
          </w:p>
        </w:tc>
        <w:tc>
          <w:tcPr>
            <w:tcW w:w="2100" w:type="dxa"/>
          </w:tcPr>
          <w:p>
            <w:pPr>
              <w:pStyle w:val="TableParagraph"/>
              <w:spacing w:line="240" w:lineRule="auto" w:before="111"/>
              <w:ind w:left="388"/>
              <w:rPr>
                <w:sz w:val="20"/>
              </w:rPr>
            </w:pPr>
            <w:r>
              <w:rPr>
                <w:sz w:val="20"/>
                <w:u w:val="single"/>
              </w:rPr>
              <w:t>Schedule 7</w:t>
            </w:r>
          </w:p>
        </w:tc>
        <w:tc>
          <w:tcPr>
            <w:tcW w:w="1780" w:type="dxa"/>
          </w:tcPr>
          <w:p>
            <w:pPr>
              <w:pStyle w:val="TableParagraph"/>
              <w:spacing w:line="240" w:lineRule="auto" w:before="111"/>
              <w:ind w:left="268"/>
              <w:rPr>
                <w:sz w:val="20"/>
              </w:rPr>
            </w:pPr>
            <w:r>
              <w:rPr>
                <w:sz w:val="20"/>
                <w:u w:val="single"/>
              </w:rPr>
              <w:t>Schedule 8</w:t>
            </w:r>
          </w:p>
        </w:tc>
      </w:tr>
      <w:tr>
        <w:trPr>
          <w:trHeight w:val="345" w:hRule="atLeast"/>
        </w:trPr>
        <w:tc>
          <w:tcPr>
            <w:tcW w:w="1900" w:type="dxa"/>
          </w:tcPr>
          <w:p>
            <w:pPr>
              <w:pStyle w:val="TableParagraph"/>
              <w:spacing w:line="213" w:lineRule="exact" w:before="111"/>
              <w:ind w:left="200"/>
              <w:rPr>
                <w:sz w:val="20"/>
              </w:rPr>
            </w:pPr>
            <w:r>
              <w:rPr>
                <w:sz w:val="20"/>
              </w:rPr>
              <w:t>5/65 (R.3)</w:t>
            </w:r>
          </w:p>
        </w:tc>
        <w:tc>
          <w:tcPr>
            <w:tcW w:w="2100" w:type="dxa"/>
          </w:tcPr>
          <w:p>
            <w:pPr>
              <w:pStyle w:val="TableParagraph"/>
              <w:spacing w:line="213" w:lineRule="exact" w:before="111"/>
              <w:ind w:left="387"/>
              <w:rPr>
                <w:sz w:val="20"/>
              </w:rPr>
            </w:pPr>
            <w:r>
              <w:rPr>
                <w:sz w:val="20"/>
              </w:rPr>
              <w:t>7/47(R.1)</w:t>
            </w:r>
          </w:p>
        </w:tc>
        <w:tc>
          <w:tcPr>
            <w:tcW w:w="1780" w:type="dxa"/>
          </w:tcPr>
          <w:p>
            <w:pPr>
              <w:pStyle w:val="TableParagraph"/>
              <w:spacing w:line="213" w:lineRule="exact" w:before="111"/>
              <w:ind w:left="268"/>
              <w:rPr>
                <w:sz w:val="20"/>
              </w:rPr>
            </w:pPr>
            <w:r>
              <w:rPr>
                <w:sz w:val="20"/>
              </w:rPr>
              <w:t>8/35 (R.2)</w:t>
            </w:r>
          </w:p>
        </w:tc>
      </w:tr>
      <w:tr>
        <w:trPr>
          <w:trHeight w:val="229" w:hRule="atLeast"/>
        </w:trPr>
        <w:tc>
          <w:tcPr>
            <w:tcW w:w="1900" w:type="dxa"/>
          </w:tcPr>
          <w:p>
            <w:pPr>
              <w:pStyle w:val="TableParagraph"/>
              <w:spacing w:line="240" w:lineRule="auto"/>
              <w:ind w:left="0"/>
              <w:rPr>
                <w:rFonts w:ascii="Times New Roman"/>
                <w:sz w:val="16"/>
              </w:rPr>
            </w:pPr>
          </w:p>
        </w:tc>
        <w:tc>
          <w:tcPr>
            <w:tcW w:w="2100" w:type="dxa"/>
          </w:tcPr>
          <w:p>
            <w:pPr>
              <w:pStyle w:val="TableParagraph"/>
              <w:spacing w:line="240" w:lineRule="auto"/>
              <w:ind w:left="0"/>
              <w:rPr>
                <w:rFonts w:ascii="Times New Roman"/>
                <w:sz w:val="16"/>
              </w:rPr>
            </w:pPr>
          </w:p>
        </w:tc>
        <w:tc>
          <w:tcPr>
            <w:tcW w:w="1780" w:type="dxa"/>
          </w:tcPr>
          <w:p>
            <w:pPr>
              <w:pStyle w:val="TableParagraph"/>
              <w:ind w:left="268"/>
              <w:rPr>
                <w:sz w:val="20"/>
              </w:rPr>
            </w:pPr>
            <w:r>
              <w:rPr>
                <w:sz w:val="20"/>
              </w:rPr>
              <w:t>8/37 (R.1)</w:t>
            </w:r>
          </w:p>
        </w:tc>
      </w:tr>
      <w:tr>
        <w:trPr>
          <w:trHeight w:val="916" w:hRule="atLeast"/>
        </w:trPr>
        <w:tc>
          <w:tcPr>
            <w:tcW w:w="1900" w:type="dxa"/>
          </w:tcPr>
          <w:p>
            <w:pPr>
              <w:pStyle w:val="TableParagraph"/>
              <w:spacing w:line="226" w:lineRule="exact"/>
              <w:ind w:left="200"/>
              <w:rPr>
                <w:sz w:val="20"/>
              </w:rPr>
            </w:pPr>
            <w:r>
              <w:rPr>
                <w:sz w:val="20"/>
                <w:u w:val="single"/>
              </w:rPr>
              <w:t>By-Laws</w:t>
            </w:r>
          </w:p>
          <w:p>
            <w:pPr>
              <w:pStyle w:val="TableParagraph"/>
              <w:spacing w:line="240" w:lineRule="auto" w:before="4"/>
              <w:ind w:left="0"/>
              <w:rPr>
                <w:sz w:val="20"/>
              </w:rPr>
            </w:pPr>
          </w:p>
          <w:p>
            <w:pPr>
              <w:pStyle w:val="TableParagraph"/>
              <w:spacing w:line="230" w:lineRule="exact"/>
              <w:ind w:left="200" w:right="368"/>
              <w:rPr>
                <w:sz w:val="20"/>
              </w:rPr>
            </w:pPr>
            <w:r>
              <w:rPr>
                <w:sz w:val="20"/>
              </w:rPr>
              <w:t>Part 2/53 (R.5) Part 2/75 (R.5)</w:t>
            </w:r>
          </w:p>
        </w:tc>
        <w:tc>
          <w:tcPr>
            <w:tcW w:w="2100" w:type="dxa"/>
          </w:tcPr>
          <w:p>
            <w:pPr>
              <w:pStyle w:val="TableParagraph"/>
              <w:spacing w:line="240" w:lineRule="auto"/>
              <w:ind w:left="0"/>
              <w:rPr>
                <w:sz w:val="22"/>
              </w:rPr>
            </w:pPr>
          </w:p>
          <w:p>
            <w:pPr>
              <w:pStyle w:val="TableParagraph"/>
              <w:spacing w:line="240" w:lineRule="auto" w:before="1"/>
              <w:ind w:left="0"/>
              <w:rPr>
                <w:sz w:val="18"/>
              </w:rPr>
            </w:pPr>
          </w:p>
          <w:p>
            <w:pPr>
              <w:pStyle w:val="TableParagraph"/>
              <w:spacing w:line="230" w:lineRule="exact"/>
              <w:ind w:left="388" w:right="246"/>
              <w:rPr>
                <w:sz w:val="20"/>
              </w:rPr>
            </w:pPr>
            <w:r>
              <w:rPr>
                <w:sz w:val="20"/>
              </w:rPr>
              <w:t>Part 2/54A (R.2) Part 2/117 (R.5)</w:t>
            </w:r>
          </w:p>
        </w:tc>
        <w:tc>
          <w:tcPr>
            <w:tcW w:w="1780" w:type="dxa"/>
          </w:tcPr>
          <w:p>
            <w:pPr>
              <w:pStyle w:val="TableParagraph"/>
              <w:spacing w:line="240" w:lineRule="auto"/>
              <w:ind w:left="0"/>
              <w:rPr>
                <w:sz w:val="22"/>
              </w:rPr>
            </w:pPr>
          </w:p>
          <w:p>
            <w:pPr>
              <w:pStyle w:val="TableParagraph"/>
              <w:spacing w:line="240" w:lineRule="auto" w:before="9"/>
              <w:ind w:left="0"/>
              <w:rPr>
                <w:sz w:val="17"/>
              </w:rPr>
            </w:pPr>
          </w:p>
          <w:p>
            <w:pPr>
              <w:pStyle w:val="TableParagraph"/>
              <w:spacing w:line="240" w:lineRule="auto"/>
              <w:ind w:left="268"/>
              <w:rPr>
                <w:sz w:val="20"/>
              </w:rPr>
            </w:pPr>
            <w:r>
              <w:rPr>
                <w:sz w:val="20"/>
              </w:rPr>
              <w:t>Part 2/61 (R.7)</w:t>
            </w:r>
          </w:p>
        </w:tc>
      </w:tr>
    </w:tbl>
    <w:p>
      <w:pPr>
        <w:spacing w:after="0" w:line="240" w:lineRule="auto"/>
        <w:rPr>
          <w:sz w:val="20"/>
        </w:rPr>
        <w:sectPr>
          <w:pgSz w:w="11910" w:h="16840"/>
          <w:pgMar w:header="1137" w:footer="0" w:top="1360" w:bottom="280" w:left="160" w:right="180"/>
        </w:sectPr>
      </w:pPr>
    </w:p>
    <w:p>
      <w:pPr>
        <w:pStyle w:val="BodyText"/>
        <w:spacing w:before="5"/>
        <w:rPr>
          <w:sz w:val="29"/>
        </w:rPr>
      </w:pPr>
    </w:p>
    <w:p>
      <w:pPr>
        <w:pStyle w:val="Heading1"/>
        <w:spacing w:before="92"/>
      </w:pPr>
      <w:bookmarkStart w:name="Enquiries" w:id="3"/>
      <w:bookmarkEnd w:id="3"/>
      <w:r>
        <w:rPr>
          <w:b w:val="0"/>
        </w:rPr>
      </w:r>
      <w:r>
        <w:rPr/>
        <w:t>Enquiries</w:t>
      </w:r>
    </w:p>
    <w:p>
      <w:pPr>
        <w:pStyle w:val="BodyText"/>
        <w:spacing w:before="230"/>
        <w:ind w:left="920" w:right="1802"/>
      </w:pPr>
      <w:r>
        <w:rPr/>
        <w:t>In the first instance, those seeking information on the HS2012 changes and their consequential amendments should refer to the special HS2012 page on the Customs website, at </w:t>
      </w:r>
      <w:hyperlink r:id="rId7">
        <w:r>
          <w:rPr>
            <w:u w:val="single"/>
          </w:rPr>
          <w:t>http://www.customs.gov.au</w:t>
        </w:r>
        <w:r>
          <w:rPr/>
          <w:t>, </w:t>
        </w:r>
      </w:hyperlink>
      <w:r>
        <w:rPr/>
        <w:t>accessible from the Tariff page. The HS2012 page contains links to all available information relevant to the proposed changes.</w:t>
      </w:r>
    </w:p>
    <w:p>
      <w:pPr>
        <w:pStyle w:val="BodyText"/>
        <w:spacing w:before="11"/>
        <w:rPr>
          <w:sz w:val="19"/>
        </w:rPr>
      </w:pPr>
    </w:p>
    <w:p>
      <w:pPr>
        <w:pStyle w:val="BodyText"/>
        <w:ind w:left="920" w:right="1458"/>
      </w:pPr>
      <w:r>
        <w:rPr/>
        <w:t>If you require any further information about the proposed changes to the Customs Tariff or the statistical codes, please direct any inquiries to the following contacts:</w:t>
      </w:r>
    </w:p>
    <w:p>
      <w:pPr>
        <w:pStyle w:val="BodyText"/>
        <w:spacing w:before="6"/>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2"/>
        <w:gridCol w:w="3828"/>
      </w:tblGrid>
      <w:tr>
        <w:trPr>
          <w:trHeight w:val="1695" w:hRule="atLeast"/>
        </w:trPr>
        <w:tc>
          <w:tcPr>
            <w:tcW w:w="4822" w:type="dxa"/>
          </w:tcPr>
          <w:p>
            <w:pPr>
              <w:pStyle w:val="TableParagraph"/>
              <w:spacing w:line="224" w:lineRule="exact"/>
              <w:ind w:left="200"/>
              <w:rPr>
                <w:sz w:val="20"/>
              </w:rPr>
            </w:pPr>
            <w:r>
              <w:rPr>
                <w:sz w:val="20"/>
                <w:u w:val="single"/>
              </w:rPr>
              <w:t>for changes to the Customs Tariff Working Pages</w:t>
            </w:r>
          </w:p>
          <w:p>
            <w:pPr>
              <w:pStyle w:val="TableParagraph"/>
              <w:spacing w:line="240" w:lineRule="auto" w:before="91"/>
              <w:ind w:left="200"/>
              <w:rPr>
                <w:sz w:val="20"/>
              </w:rPr>
            </w:pPr>
            <w:r>
              <w:rPr>
                <w:sz w:val="20"/>
              </w:rPr>
              <w:t>Manager Tariff HS2012 Project</w:t>
            </w:r>
          </w:p>
          <w:p>
            <w:pPr>
              <w:pStyle w:val="TableParagraph"/>
              <w:spacing w:line="240" w:lineRule="auto"/>
              <w:ind w:left="200" w:right="144"/>
              <w:rPr>
                <w:sz w:val="20"/>
              </w:rPr>
            </w:pPr>
            <w:r>
              <w:rPr>
                <w:sz w:val="20"/>
              </w:rPr>
              <w:t>Australian Customs and Border Protection Service 5 Constitution Avenue</w:t>
            </w:r>
          </w:p>
          <w:p>
            <w:pPr>
              <w:pStyle w:val="TableParagraph"/>
              <w:spacing w:line="230" w:lineRule="exact"/>
              <w:ind w:left="200"/>
              <w:rPr>
                <w:sz w:val="20"/>
              </w:rPr>
            </w:pPr>
            <w:r>
              <w:rPr>
                <w:sz w:val="20"/>
              </w:rPr>
              <w:t>CANBERRA ACT</w:t>
            </w:r>
            <w:r>
              <w:rPr>
                <w:spacing w:val="52"/>
                <w:sz w:val="20"/>
              </w:rPr>
              <w:t> </w:t>
            </w:r>
            <w:r>
              <w:rPr>
                <w:sz w:val="20"/>
              </w:rPr>
              <w:t>2601</w:t>
            </w:r>
          </w:p>
          <w:p>
            <w:pPr>
              <w:pStyle w:val="TableParagraph"/>
              <w:spacing w:line="230" w:lineRule="exact" w:before="1"/>
              <w:ind w:left="200"/>
              <w:rPr>
                <w:sz w:val="20"/>
              </w:rPr>
            </w:pPr>
            <w:r>
              <w:rPr>
                <w:sz w:val="20"/>
              </w:rPr>
              <w:t>Ph: (02) 6275 6095</w:t>
            </w:r>
          </w:p>
          <w:p>
            <w:pPr>
              <w:pStyle w:val="TableParagraph"/>
              <w:ind w:left="200"/>
              <w:rPr>
                <w:sz w:val="20"/>
              </w:rPr>
            </w:pPr>
            <w:r>
              <w:rPr>
                <w:sz w:val="20"/>
              </w:rPr>
              <w:t>Email: </w:t>
            </w:r>
            <w:hyperlink r:id="rId8">
              <w:r>
                <w:rPr>
                  <w:color w:val="0000FF"/>
                  <w:sz w:val="20"/>
                  <w:u w:val="single" w:color="0000FF"/>
                </w:rPr>
                <w:t>TARLEG@customs.gov.au</w:t>
              </w:r>
            </w:hyperlink>
          </w:p>
        </w:tc>
        <w:tc>
          <w:tcPr>
            <w:tcW w:w="3828" w:type="dxa"/>
          </w:tcPr>
          <w:p>
            <w:pPr>
              <w:pStyle w:val="TableParagraph"/>
              <w:spacing w:line="224" w:lineRule="exact"/>
              <w:ind w:left="165"/>
              <w:rPr>
                <w:sz w:val="20"/>
              </w:rPr>
            </w:pPr>
            <w:r>
              <w:rPr>
                <w:sz w:val="20"/>
                <w:u w:val="single"/>
              </w:rPr>
              <w:t>for changes to the statistical codes</w:t>
            </w:r>
          </w:p>
          <w:p>
            <w:pPr>
              <w:pStyle w:val="TableParagraph"/>
              <w:spacing w:line="240" w:lineRule="auto" w:before="91"/>
              <w:ind w:left="165" w:right="975"/>
              <w:rPr>
                <w:sz w:val="20"/>
              </w:rPr>
            </w:pPr>
            <w:r>
              <w:rPr>
                <w:sz w:val="20"/>
              </w:rPr>
              <w:t>Classification Manager International Trade Section Australian Bureau of Statistics Ph: (02) 6252 5409</w:t>
            </w:r>
          </w:p>
          <w:p>
            <w:pPr>
              <w:pStyle w:val="TableParagraph"/>
              <w:spacing w:line="240" w:lineRule="auto" w:before="1"/>
              <w:ind w:left="165"/>
              <w:rPr>
                <w:sz w:val="20"/>
              </w:rPr>
            </w:pPr>
            <w:r>
              <w:rPr>
                <w:sz w:val="20"/>
              </w:rPr>
              <w:t>E-mail: </w:t>
            </w:r>
            <w:hyperlink r:id="rId9">
              <w:r>
                <w:rPr>
                  <w:color w:val="0000FF"/>
                  <w:sz w:val="20"/>
                  <w:u w:val="single" w:color="0000FF"/>
                </w:rPr>
                <w:t>international.trade@abs.gov.au</w:t>
              </w:r>
            </w:hyperlink>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920"/>
      </w:pPr>
      <w:r>
        <w:rPr/>
        <w:t>(signed)</w:t>
      </w:r>
    </w:p>
    <w:p>
      <w:pPr>
        <w:pStyle w:val="BodyText"/>
        <w:ind w:left="920"/>
      </w:pPr>
      <w:r>
        <w:rPr/>
        <w:t>Sharon Nyakuengama</w:t>
      </w:r>
    </w:p>
    <w:p>
      <w:pPr>
        <w:pStyle w:val="BodyText"/>
        <w:spacing w:line="480" w:lineRule="auto" w:before="1"/>
        <w:ind w:left="920" w:right="6705"/>
      </w:pPr>
      <w:r>
        <w:rPr/>
        <w:t>A/g National Director Trade and Compliance 30 November 2011</w:t>
      </w:r>
    </w:p>
    <w:p>
      <w:pPr>
        <w:spacing w:after="0" w:line="480" w:lineRule="auto"/>
        <w:sectPr>
          <w:pgSz w:w="11910" w:h="16840"/>
          <w:pgMar w:header="1137" w:footer="0" w:top="1360" w:bottom="280" w:left="160" w:right="180"/>
        </w:sectPr>
      </w:pPr>
    </w:p>
    <w:p>
      <w:pPr>
        <w:pStyle w:val="BodyText"/>
      </w:pPr>
    </w:p>
    <w:p>
      <w:pPr>
        <w:pStyle w:val="BodyText"/>
        <w:spacing w:before="6"/>
        <w:rPr>
          <w:sz w:val="29"/>
        </w:rPr>
      </w:pPr>
    </w:p>
    <w:tbl>
      <w:tblPr>
        <w:tblW w:w="0" w:type="auto"/>
        <w:jc w:val="lef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9"/>
        <w:gridCol w:w="1238"/>
        <w:gridCol w:w="3021"/>
        <w:gridCol w:w="1640"/>
        <w:gridCol w:w="1250"/>
      </w:tblGrid>
      <w:tr>
        <w:trPr>
          <w:trHeight w:val="459" w:hRule="atLeast"/>
        </w:trPr>
        <w:tc>
          <w:tcPr>
            <w:tcW w:w="8818" w:type="dxa"/>
            <w:gridSpan w:val="5"/>
            <w:shd w:val="clear" w:color="auto" w:fill="E6E6E6"/>
          </w:tcPr>
          <w:p>
            <w:pPr>
              <w:pStyle w:val="TableParagraph"/>
              <w:spacing w:line="228" w:lineRule="exact"/>
              <w:ind w:left="612"/>
              <w:rPr>
                <w:b/>
                <w:sz w:val="20"/>
              </w:rPr>
            </w:pPr>
            <w:r>
              <w:rPr>
                <w:b/>
                <w:sz w:val="20"/>
              </w:rPr>
              <w:t>HS 2012 TCO CONCORDANCE – TCOs revoked and replaced for 1 January 2012</w:t>
            </w:r>
          </w:p>
        </w:tc>
      </w:tr>
      <w:tr>
        <w:trPr>
          <w:trHeight w:val="460" w:hRule="atLeast"/>
        </w:trPr>
        <w:tc>
          <w:tcPr>
            <w:tcW w:w="1669" w:type="dxa"/>
            <w:shd w:val="clear" w:color="auto" w:fill="F3F3F3"/>
          </w:tcPr>
          <w:p>
            <w:pPr>
              <w:pStyle w:val="TableParagraph"/>
              <w:spacing w:line="230" w:lineRule="exact" w:before="1"/>
              <w:ind w:right="231"/>
              <w:rPr>
                <w:b/>
                <w:sz w:val="20"/>
              </w:rPr>
            </w:pPr>
            <w:r>
              <w:rPr>
                <w:b/>
                <w:sz w:val="20"/>
              </w:rPr>
              <w:t>Current Classification</w:t>
            </w:r>
          </w:p>
        </w:tc>
        <w:tc>
          <w:tcPr>
            <w:tcW w:w="1238" w:type="dxa"/>
            <w:shd w:val="clear" w:color="auto" w:fill="F3F3F3"/>
          </w:tcPr>
          <w:p>
            <w:pPr>
              <w:pStyle w:val="TableParagraph"/>
              <w:spacing w:line="230" w:lineRule="exact" w:before="1"/>
              <w:ind w:left="108" w:right="300"/>
              <w:rPr>
                <w:b/>
                <w:sz w:val="20"/>
              </w:rPr>
            </w:pPr>
            <w:r>
              <w:rPr>
                <w:b/>
                <w:sz w:val="20"/>
              </w:rPr>
              <w:t>Current TCO No.</w:t>
            </w:r>
          </w:p>
        </w:tc>
        <w:tc>
          <w:tcPr>
            <w:tcW w:w="3021" w:type="dxa"/>
            <w:shd w:val="clear" w:color="auto" w:fill="F3F3F3"/>
          </w:tcPr>
          <w:p>
            <w:pPr>
              <w:pStyle w:val="TableParagraph"/>
              <w:spacing w:line="228" w:lineRule="exact"/>
              <w:ind w:left="108"/>
              <w:rPr>
                <w:b/>
                <w:sz w:val="20"/>
              </w:rPr>
            </w:pPr>
            <w:r>
              <w:rPr>
                <w:b/>
                <w:sz w:val="20"/>
              </w:rPr>
              <w:t>Brief Description</w:t>
            </w:r>
          </w:p>
        </w:tc>
        <w:tc>
          <w:tcPr>
            <w:tcW w:w="1640" w:type="dxa"/>
            <w:shd w:val="clear" w:color="auto" w:fill="F3F3F3"/>
          </w:tcPr>
          <w:p>
            <w:pPr>
              <w:pStyle w:val="TableParagraph"/>
              <w:spacing w:line="230" w:lineRule="exact" w:before="1"/>
              <w:ind w:left="108" w:right="201"/>
              <w:rPr>
                <w:b/>
                <w:sz w:val="20"/>
              </w:rPr>
            </w:pPr>
            <w:r>
              <w:rPr>
                <w:b/>
                <w:sz w:val="20"/>
              </w:rPr>
              <w:t>New Classification</w:t>
            </w:r>
          </w:p>
        </w:tc>
        <w:tc>
          <w:tcPr>
            <w:tcW w:w="1250" w:type="dxa"/>
            <w:shd w:val="clear" w:color="auto" w:fill="F3F3F3"/>
          </w:tcPr>
          <w:p>
            <w:pPr>
              <w:pStyle w:val="TableParagraph"/>
              <w:spacing w:line="230" w:lineRule="exact" w:before="1"/>
              <w:ind w:left="109" w:right="222"/>
              <w:rPr>
                <w:b/>
                <w:sz w:val="20"/>
              </w:rPr>
            </w:pPr>
            <w:r>
              <w:rPr>
                <w:b/>
                <w:sz w:val="20"/>
              </w:rPr>
              <w:t>New TCO No.</w:t>
            </w:r>
          </w:p>
        </w:tc>
      </w:tr>
      <w:tr>
        <w:trPr>
          <w:trHeight w:val="229" w:hRule="atLeast"/>
        </w:trPr>
        <w:tc>
          <w:tcPr>
            <w:tcW w:w="1669" w:type="dxa"/>
          </w:tcPr>
          <w:p>
            <w:pPr>
              <w:pStyle w:val="TableParagraph"/>
              <w:spacing w:line="209" w:lineRule="exact"/>
              <w:rPr>
                <w:sz w:val="20"/>
              </w:rPr>
            </w:pPr>
            <w:r>
              <w:rPr>
                <w:sz w:val="20"/>
              </w:rPr>
              <w:t>2903.49.10</w:t>
            </w:r>
          </w:p>
        </w:tc>
        <w:tc>
          <w:tcPr>
            <w:tcW w:w="1238" w:type="dxa"/>
          </w:tcPr>
          <w:p>
            <w:pPr>
              <w:pStyle w:val="TableParagraph"/>
              <w:spacing w:line="209" w:lineRule="exact"/>
              <w:ind w:left="108"/>
              <w:rPr>
                <w:sz w:val="20"/>
              </w:rPr>
            </w:pPr>
            <w:r>
              <w:rPr>
                <w:sz w:val="20"/>
              </w:rPr>
              <w:t>9609368</w:t>
            </w:r>
          </w:p>
        </w:tc>
        <w:tc>
          <w:tcPr>
            <w:tcW w:w="3021" w:type="dxa"/>
          </w:tcPr>
          <w:p>
            <w:pPr>
              <w:pStyle w:val="TableParagraph"/>
              <w:spacing w:line="209" w:lineRule="exact"/>
              <w:rPr>
                <w:sz w:val="20"/>
              </w:rPr>
            </w:pPr>
            <w:r>
              <w:rPr>
                <w:sz w:val="20"/>
              </w:rPr>
              <w:t>Chlorodifluoromethane</w:t>
            </w:r>
          </w:p>
        </w:tc>
        <w:tc>
          <w:tcPr>
            <w:tcW w:w="1640" w:type="dxa"/>
          </w:tcPr>
          <w:p>
            <w:pPr>
              <w:pStyle w:val="TableParagraph"/>
              <w:spacing w:line="209" w:lineRule="exact"/>
              <w:ind w:left="108"/>
              <w:rPr>
                <w:sz w:val="20"/>
              </w:rPr>
            </w:pPr>
            <w:r>
              <w:rPr>
                <w:sz w:val="20"/>
              </w:rPr>
              <w:t>2903.71.00</w:t>
            </w:r>
          </w:p>
        </w:tc>
        <w:tc>
          <w:tcPr>
            <w:tcW w:w="1250" w:type="dxa"/>
          </w:tcPr>
          <w:p>
            <w:pPr>
              <w:pStyle w:val="TableParagraph"/>
              <w:spacing w:line="209" w:lineRule="exact"/>
              <w:ind w:left="109"/>
              <w:rPr>
                <w:sz w:val="20"/>
              </w:rPr>
            </w:pPr>
            <w:r>
              <w:rPr>
                <w:sz w:val="20"/>
              </w:rPr>
              <w:t>1127095</w:t>
            </w:r>
          </w:p>
        </w:tc>
      </w:tr>
      <w:tr>
        <w:trPr>
          <w:trHeight w:val="230" w:hRule="atLeast"/>
        </w:trPr>
        <w:tc>
          <w:tcPr>
            <w:tcW w:w="1669" w:type="dxa"/>
          </w:tcPr>
          <w:p>
            <w:pPr>
              <w:pStyle w:val="TableParagraph"/>
              <w:rPr>
                <w:sz w:val="20"/>
              </w:rPr>
            </w:pPr>
            <w:r>
              <w:rPr>
                <w:sz w:val="20"/>
              </w:rPr>
              <w:t>2903.49.10</w:t>
            </w:r>
          </w:p>
        </w:tc>
        <w:tc>
          <w:tcPr>
            <w:tcW w:w="1238" w:type="dxa"/>
          </w:tcPr>
          <w:p>
            <w:pPr>
              <w:pStyle w:val="TableParagraph"/>
              <w:ind w:left="108"/>
              <w:rPr>
                <w:sz w:val="20"/>
              </w:rPr>
            </w:pPr>
            <w:r>
              <w:rPr>
                <w:sz w:val="20"/>
              </w:rPr>
              <w:t>9702814</w:t>
            </w:r>
          </w:p>
        </w:tc>
        <w:tc>
          <w:tcPr>
            <w:tcW w:w="3021" w:type="dxa"/>
          </w:tcPr>
          <w:p>
            <w:pPr>
              <w:pStyle w:val="TableParagraph"/>
              <w:ind w:left="109"/>
              <w:rPr>
                <w:sz w:val="20"/>
              </w:rPr>
            </w:pPr>
            <w:r>
              <w:rPr>
                <w:sz w:val="20"/>
              </w:rPr>
              <w:t>1,1-dichloro-1-fluoroethane</w:t>
            </w:r>
          </w:p>
        </w:tc>
        <w:tc>
          <w:tcPr>
            <w:tcW w:w="1640" w:type="dxa"/>
          </w:tcPr>
          <w:p>
            <w:pPr>
              <w:pStyle w:val="TableParagraph"/>
              <w:ind w:left="109"/>
              <w:rPr>
                <w:sz w:val="20"/>
              </w:rPr>
            </w:pPr>
            <w:r>
              <w:rPr>
                <w:sz w:val="20"/>
              </w:rPr>
              <w:t>2903.73.00</w:t>
            </w:r>
          </w:p>
        </w:tc>
        <w:tc>
          <w:tcPr>
            <w:tcW w:w="1250" w:type="dxa"/>
          </w:tcPr>
          <w:p>
            <w:pPr>
              <w:pStyle w:val="TableParagraph"/>
              <w:ind w:left="110"/>
              <w:rPr>
                <w:sz w:val="20"/>
              </w:rPr>
            </w:pPr>
            <w:r>
              <w:rPr>
                <w:sz w:val="20"/>
              </w:rPr>
              <w:t>1127102</w:t>
            </w:r>
          </w:p>
        </w:tc>
      </w:tr>
      <w:tr>
        <w:trPr>
          <w:trHeight w:val="230" w:hRule="atLeast"/>
        </w:trPr>
        <w:tc>
          <w:tcPr>
            <w:tcW w:w="1669" w:type="dxa"/>
          </w:tcPr>
          <w:p>
            <w:pPr>
              <w:pStyle w:val="TableParagraph"/>
              <w:rPr>
                <w:sz w:val="20"/>
              </w:rPr>
            </w:pPr>
            <w:r>
              <w:rPr>
                <w:sz w:val="20"/>
              </w:rPr>
              <w:t>2903.49.10</w:t>
            </w:r>
          </w:p>
        </w:tc>
        <w:tc>
          <w:tcPr>
            <w:tcW w:w="1238" w:type="dxa"/>
          </w:tcPr>
          <w:p>
            <w:pPr>
              <w:pStyle w:val="TableParagraph"/>
              <w:ind w:left="108"/>
              <w:rPr>
                <w:sz w:val="20"/>
              </w:rPr>
            </w:pPr>
            <w:r>
              <w:rPr>
                <w:sz w:val="20"/>
              </w:rPr>
              <w:t>9702820</w:t>
            </w:r>
          </w:p>
        </w:tc>
        <w:tc>
          <w:tcPr>
            <w:tcW w:w="3021" w:type="dxa"/>
          </w:tcPr>
          <w:p>
            <w:pPr>
              <w:pStyle w:val="TableParagraph"/>
              <w:rPr>
                <w:sz w:val="20"/>
              </w:rPr>
            </w:pPr>
            <w:r>
              <w:rPr>
                <w:sz w:val="20"/>
              </w:rPr>
              <w:t>Dichlorotrifluoroethane</w:t>
            </w:r>
          </w:p>
        </w:tc>
        <w:tc>
          <w:tcPr>
            <w:tcW w:w="1640" w:type="dxa"/>
          </w:tcPr>
          <w:p>
            <w:pPr>
              <w:pStyle w:val="TableParagraph"/>
              <w:ind w:left="109"/>
              <w:rPr>
                <w:sz w:val="20"/>
              </w:rPr>
            </w:pPr>
            <w:r>
              <w:rPr>
                <w:sz w:val="20"/>
              </w:rPr>
              <w:t>2903.72.00</w:t>
            </w:r>
          </w:p>
        </w:tc>
        <w:tc>
          <w:tcPr>
            <w:tcW w:w="1250" w:type="dxa"/>
          </w:tcPr>
          <w:p>
            <w:pPr>
              <w:pStyle w:val="TableParagraph"/>
              <w:ind w:left="109"/>
              <w:rPr>
                <w:sz w:val="20"/>
              </w:rPr>
            </w:pPr>
            <w:r>
              <w:rPr>
                <w:sz w:val="20"/>
              </w:rPr>
              <w:t>1127099</w:t>
            </w:r>
          </w:p>
        </w:tc>
      </w:tr>
      <w:tr>
        <w:trPr>
          <w:trHeight w:val="230" w:hRule="atLeast"/>
        </w:trPr>
        <w:tc>
          <w:tcPr>
            <w:tcW w:w="1669" w:type="dxa"/>
          </w:tcPr>
          <w:p>
            <w:pPr>
              <w:pStyle w:val="TableParagraph"/>
              <w:rPr>
                <w:sz w:val="20"/>
              </w:rPr>
            </w:pPr>
            <w:r>
              <w:rPr>
                <w:sz w:val="20"/>
              </w:rPr>
              <w:t>2903.61</w:t>
            </w:r>
          </w:p>
        </w:tc>
        <w:tc>
          <w:tcPr>
            <w:tcW w:w="1238" w:type="dxa"/>
          </w:tcPr>
          <w:p>
            <w:pPr>
              <w:pStyle w:val="TableParagraph"/>
              <w:ind w:left="108"/>
              <w:rPr>
                <w:sz w:val="20"/>
              </w:rPr>
            </w:pPr>
            <w:r>
              <w:rPr>
                <w:sz w:val="20"/>
              </w:rPr>
              <w:t>8531951</w:t>
            </w:r>
          </w:p>
        </w:tc>
        <w:tc>
          <w:tcPr>
            <w:tcW w:w="3021" w:type="dxa"/>
          </w:tcPr>
          <w:p>
            <w:pPr>
              <w:pStyle w:val="TableParagraph"/>
              <w:ind w:left="108"/>
              <w:rPr>
                <w:sz w:val="20"/>
              </w:rPr>
            </w:pPr>
            <w:r>
              <w:rPr>
                <w:sz w:val="20"/>
              </w:rPr>
              <w:t>Chlorobenzenes</w:t>
            </w:r>
          </w:p>
        </w:tc>
        <w:tc>
          <w:tcPr>
            <w:tcW w:w="1640" w:type="dxa"/>
          </w:tcPr>
          <w:p>
            <w:pPr>
              <w:pStyle w:val="TableParagraph"/>
              <w:rPr>
                <w:sz w:val="20"/>
              </w:rPr>
            </w:pPr>
            <w:r>
              <w:rPr>
                <w:sz w:val="20"/>
              </w:rPr>
              <w:t>2903.91.00</w:t>
            </w:r>
          </w:p>
        </w:tc>
        <w:tc>
          <w:tcPr>
            <w:tcW w:w="1250" w:type="dxa"/>
          </w:tcPr>
          <w:p>
            <w:pPr>
              <w:pStyle w:val="TableParagraph"/>
              <w:ind w:left="108"/>
              <w:rPr>
                <w:sz w:val="20"/>
              </w:rPr>
            </w:pPr>
            <w:r>
              <w:rPr>
                <w:sz w:val="20"/>
              </w:rPr>
              <w:t>1127104</w:t>
            </w:r>
          </w:p>
        </w:tc>
      </w:tr>
      <w:tr>
        <w:trPr>
          <w:trHeight w:val="230" w:hRule="atLeast"/>
        </w:trPr>
        <w:tc>
          <w:tcPr>
            <w:tcW w:w="1669" w:type="dxa"/>
          </w:tcPr>
          <w:p>
            <w:pPr>
              <w:pStyle w:val="TableParagraph"/>
              <w:rPr>
                <w:sz w:val="20"/>
              </w:rPr>
            </w:pPr>
            <w:r>
              <w:rPr>
                <w:sz w:val="20"/>
              </w:rPr>
              <w:t>2903.61.00</w:t>
            </w:r>
          </w:p>
        </w:tc>
        <w:tc>
          <w:tcPr>
            <w:tcW w:w="1238" w:type="dxa"/>
          </w:tcPr>
          <w:p>
            <w:pPr>
              <w:pStyle w:val="TableParagraph"/>
              <w:ind w:left="108"/>
              <w:rPr>
                <w:sz w:val="20"/>
              </w:rPr>
            </w:pPr>
            <w:r>
              <w:rPr>
                <w:sz w:val="20"/>
              </w:rPr>
              <w:t>9305454</w:t>
            </w:r>
          </w:p>
        </w:tc>
        <w:tc>
          <w:tcPr>
            <w:tcW w:w="3021" w:type="dxa"/>
          </w:tcPr>
          <w:p>
            <w:pPr>
              <w:pStyle w:val="TableParagraph"/>
              <w:ind w:left="109"/>
              <w:rPr>
                <w:sz w:val="20"/>
              </w:rPr>
            </w:pPr>
            <w:r>
              <w:rPr>
                <w:sz w:val="20"/>
              </w:rPr>
              <w:t>Paradichlorobenzene</w:t>
            </w:r>
          </w:p>
        </w:tc>
        <w:tc>
          <w:tcPr>
            <w:tcW w:w="1640" w:type="dxa"/>
          </w:tcPr>
          <w:p>
            <w:pPr>
              <w:pStyle w:val="TableParagraph"/>
              <w:rPr>
                <w:sz w:val="20"/>
              </w:rPr>
            </w:pPr>
            <w:r>
              <w:rPr>
                <w:sz w:val="20"/>
              </w:rPr>
              <w:t>2903.91.00</w:t>
            </w:r>
          </w:p>
        </w:tc>
        <w:tc>
          <w:tcPr>
            <w:tcW w:w="1250" w:type="dxa"/>
          </w:tcPr>
          <w:p>
            <w:pPr>
              <w:pStyle w:val="TableParagraph"/>
              <w:ind w:left="109"/>
              <w:rPr>
                <w:sz w:val="20"/>
              </w:rPr>
            </w:pPr>
            <w:r>
              <w:rPr>
                <w:sz w:val="20"/>
              </w:rPr>
              <w:t>1127107</w:t>
            </w:r>
          </w:p>
        </w:tc>
      </w:tr>
      <w:tr>
        <w:trPr>
          <w:trHeight w:val="230" w:hRule="atLeast"/>
        </w:trPr>
        <w:tc>
          <w:tcPr>
            <w:tcW w:w="1669" w:type="dxa"/>
          </w:tcPr>
          <w:p>
            <w:pPr>
              <w:pStyle w:val="TableParagraph"/>
              <w:rPr>
                <w:sz w:val="20"/>
              </w:rPr>
            </w:pPr>
            <w:r>
              <w:rPr>
                <w:sz w:val="20"/>
              </w:rPr>
              <w:t>2903.61.00</w:t>
            </w:r>
          </w:p>
        </w:tc>
        <w:tc>
          <w:tcPr>
            <w:tcW w:w="1238" w:type="dxa"/>
          </w:tcPr>
          <w:p>
            <w:pPr>
              <w:pStyle w:val="TableParagraph"/>
              <w:ind w:left="108"/>
              <w:rPr>
                <w:sz w:val="20"/>
              </w:rPr>
            </w:pPr>
            <w:r>
              <w:rPr>
                <w:sz w:val="20"/>
              </w:rPr>
              <w:t>9405019</w:t>
            </w:r>
          </w:p>
        </w:tc>
        <w:tc>
          <w:tcPr>
            <w:tcW w:w="3021" w:type="dxa"/>
          </w:tcPr>
          <w:p>
            <w:pPr>
              <w:pStyle w:val="TableParagraph"/>
              <w:ind w:left="108"/>
              <w:rPr>
                <w:sz w:val="20"/>
              </w:rPr>
            </w:pPr>
            <w:r>
              <w:rPr>
                <w:sz w:val="20"/>
              </w:rPr>
              <w:t>Orthodichlorobenzene</w:t>
            </w:r>
          </w:p>
        </w:tc>
        <w:tc>
          <w:tcPr>
            <w:tcW w:w="1640" w:type="dxa"/>
          </w:tcPr>
          <w:p>
            <w:pPr>
              <w:pStyle w:val="TableParagraph"/>
              <w:rPr>
                <w:sz w:val="20"/>
              </w:rPr>
            </w:pPr>
            <w:r>
              <w:rPr>
                <w:sz w:val="20"/>
              </w:rPr>
              <w:t>2903.91.00</w:t>
            </w:r>
          </w:p>
        </w:tc>
        <w:tc>
          <w:tcPr>
            <w:tcW w:w="1250" w:type="dxa"/>
          </w:tcPr>
          <w:p>
            <w:pPr>
              <w:pStyle w:val="TableParagraph"/>
              <w:ind w:left="108"/>
              <w:rPr>
                <w:sz w:val="20"/>
              </w:rPr>
            </w:pPr>
            <w:r>
              <w:rPr>
                <w:sz w:val="20"/>
              </w:rPr>
              <w:t>1127111</w:t>
            </w:r>
          </w:p>
        </w:tc>
      </w:tr>
      <w:tr>
        <w:trPr>
          <w:trHeight w:val="230" w:hRule="atLeast"/>
        </w:trPr>
        <w:tc>
          <w:tcPr>
            <w:tcW w:w="1669" w:type="dxa"/>
          </w:tcPr>
          <w:p>
            <w:pPr>
              <w:pStyle w:val="TableParagraph"/>
              <w:rPr>
                <w:sz w:val="20"/>
              </w:rPr>
            </w:pPr>
            <w:r>
              <w:rPr>
                <w:sz w:val="20"/>
              </w:rPr>
              <w:t>2931.00.10</w:t>
            </w:r>
          </w:p>
        </w:tc>
        <w:tc>
          <w:tcPr>
            <w:tcW w:w="1238" w:type="dxa"/>
          </w:tcPr>
          <w:p>
            <w:pPr>
              <w:pStyle w:val="TableParagraph"/>
              <w:ind w:left="108"/>
              <w:rPr>
                <w:sz w:val="20"/>
              </w:rPr>
            </w:pPr>
            <w:r>
              <w:rPr>
                <w:sz w:val="20"/>
              </w:rPr>
              <w:t>0208033</w:t>
            </w:r>
          </w:p>
        </w:tc>
        <w:tc>
          <w:tcPr>
            <w:tcW w:w="3021" w:type="dxa"/>
          </w:tcPr>
          <w:p>
            <w:pPr>
              <w:pStyle w:val="TableParagraph"/>
              <w:rPr>
                <w:sz w:val="20"/>
              </w:rPr>
            </w:pPr>
            <w:r>
              <w:rPr>
                <w:sz w:val="20"/>
              </w:rPr>
              <w:t>Glyphosate, technical</w:t>
            </w:r>
          </w:p>
        </w:tc>
        <w:tc>
          <w:tcPr>
            <w:tcW w:w="1640" w:type="dxa"/>
          </w:tcPr>
          <w:p>
            <w:pPr>
              <w:pStyle w:val="TableParagraph"/>
              <w:ind w:left="109"/>
              <w:rPr>
                <w:sz w:val="20"/>
              </w:rPr>
            </w:pPr>
            <w:r>
              <w:rPr>
                <w:sz w:val="20"/>
              </w:rPr>
              <w:t>2931.90.10</w:t>
            </w:r>
          </w:p>
        </w:tc>
        <w:tc>
          <w:tcPr>
            <w:tcW w:w="1250" w:type="dxa"/>
          </w:tcPr>
          <w:p>
            <w:pPr>
              <w:pStyle w:val="TableParagraph"/>
              <w:ind w:left="110"/>
              <w:rPr>
                <w:sz w:val="20"/>
              </w:rPr>
            </w:pPr>
            <w:r>
              <w:rPr>
                <w:sz w:val="20"/>
              </w:rPr>
              <w:t>1127115</w:t>
            </w:r>
          </w:p>
        </w:tc>
      </w:tr>
      <w:tr>
        <w:trPr>
          <w:trHeight w:val="230" w:hRule="atLeast"/>
        </w:trPr>
        <w:tc>
          <w:tcPr>
            <w:tcW w:w="1669" w:type="dxa"/>
          </w:tcPr>
          <w:p>
            <w:pPr>
              <w:pStyle w:val="TableParagraph"/>
              <w:rPr>
                <w:sz w:val="20"/>
              </w:rPr>
            </w:pPr>
            <w:r>
              <w:rPr>
                <w:sz w:val="20"/>
              </w:rPr>
              <w:t>3005.90.90</w:t>
            </w:r>
          </w:p>
        </w:tc>
        <w:tc>
          <w:tcPr>
            <w:tcW w:w="1238" w:type="dxa"/>
          </w:tcPr>
          <w:p>
            <w:pPr>
              <w:pStyle w:val="TableParagraph"/>
              <w:ind w:left="108"/>
              <w:rPr>
                <w:sz w:val="20"/>
              </w:rPr>
            </w:pPr>
            <w:r>
              <w:rPr>
                <w:sz w:val="20"/>
              </w:rPr>
              <w:t>1026179</w:t>
            </w:r>
          </w:p>
        </w:tc>
        <w:tc>
          <w:tcPr>
            <w:tcW w:w="3021" w:type="dxa"/>
          </w:tcPr>
          <w:p>
            <w:pPr>
              <w:pStyle w:val="TableParagraph"/>
              <w:ind w:left="108"/>
              <w:rPr>
                <w:sz w:val="20"/>
              </w:rPr>
            </w:pPr>
            <w:r>
              <w:rPr>
                <w:sz w:val="20"/>
              </w:rPr>
              <w:t>Incontinence pads</w:t>
            </w:r>
          </w:p>
        </w:tc>
        <w:tc>
          <w:tcPr>
            <w:tcW w:w="1640" w:type="dxa"/>
          </w:tcPr>
          <w:p>
            <w:pPr>
              <w:pStyle w:val="TableParagraph"/>
              <w:ind w:left="108"/>
              <w:rPr>
                <w:sz w:val="20"/>
              </w:rPr>
            </w:pPr>
            <w:r>
              <w:rPr>
                <w:sz w:val="20"/>
              </w:rPr>
              <w:t>9619.00.10</w:t>
            </w:r>
          </w:p>
        </w:tc>
        <w:tc>
          <w:tcPr>
            <w:tcW w:w="1250" w:type="dxa"/>
          </w:tcPr>
          <w:p>
            <w:pPr>
              <w:pStyle w:val="TableParagraph"/>
              <w:ind w:left="109"/>
              <w:rPr>
                <w:sz w:val="20"/>
              </w:rPr>
            </w:pPr>
            <w:r>
              <w:rPr>
                <w:sz w:val="20"/>
              </w:rPr>
              <w:t>1127134</w:t>
            </w:r>
          </w:p>
        </w:tc>
      </w:tr>
      <w:tr>
        <w:trPr>
          <w:trHeight w:val="230" w:hRule="atLeast"/>
        </w:trPr>
        <w:tc>
          <w:tcPr>
            <w:tcW w:w="1669" w:type="dxa"/>
          </w:tcPr>
          <w:p>
            <w:pPr>
              <w:pStyle w:val="TableParagraph"/>
              <w:rPr>
                <w:sz w:val="20"/>
              </w:rPr>
            </w:pPr>
            <w:r>
              <w:rPr>
                <w:sz w:val="20"/>
              </w:rPr>
              <w:t>3005.90.90</w:t>
            </w:r>
          </w:p>
        </w:tc>
        <w:tc>
          <w:tcPr>
            <w:tcW w:w="1238" w:type="dxa"/>
          </w:tcPr>
          <w:p>
            <w:pPr>
              <w:pStyle w:val="TableParagraph"/>
              <w:ind w:left="108"/>
              <w:rPr>
                <w:sz w:val="20"/>
              </w:rPr>
            </w:pPr>
            <w:r>
              <w:rPr>
                <w:sz w:val="20"/>
              </w:rPr>
              <w:t>1026025</w:t>
            </w:r>
          </w:p>
        </w:tc>
        <w:tc>
          <w:tcPr>
            <w:tcW w:w="3021" w:type="dxa"/>
          </w:tcPr>
          <w:p>
            <w:pPr>
              <w:pStyle w:val="TableParagraph"/>
              <w:ind w:left="108"/>
              <w:rPr>
                <w:sz w:val="20"/>
              </w:rPr>
            </w:pPr>
            <w:r>
              <w:rPr>
                <w:sz w:val="20"/>
              </w:rPr>
              <w:t>Incontinence pants</w:t>
            </w:r>
          </w:p>
        </w:tc>
        <w:tc>
          <w:tcPr>
            <w:tcW w:w="1640" w:type="dxa"/>
          </w:tcPr>
          <w:p>
            <w:pPr>
              <w:pStyle w:val="TableParagraph"/>
              <w:ind w:left="108"/>
              <w:rPr>
                <w:sz w:val="20"/>
              </w:rPr>
            </w:pPr>
            <w:r>
              <w:rPr>
                <w:sz w:val="20"/>
              </w:rPr>
              <w:t>9619.00.10</w:t>
            </w:r>
          </w:p>
        </w:tc>
        <w:tc>
          <w:tcPr>
            <w:tcW w:w="1250" w:type="dxa"/>
          </w:tcPr>
          <w:p>
            <w:pPr>
              <w:pStyle w:val="TableParagraph"/>
              <w:ind w:left="109"/>
              <w:rPr>
                <w:sz w:val="20"/>
              </w:rPr>
            </w:pPr>
            <w:r>
              <w:rPr>
                <w:sz w:val="20"/>
              </w:rPr>
              <w:t>1127131</w:t>
            </w:r>
          </w:p>
        </w:tc>
      </w:tr>
      <w:tr>
        <w:trPr>
          <w:trHeight w:val="230" w:hRule="atLeast"/>
        </w:trPr>
        <w:tc>
          <w:tcPr>
            <w:tcW w:w="1669" w:type="dxa"/>
          </w:tcPr>
          <w:p>
            <w:pPr>
              <w:pStyle w:val="TableParagraph"/>
              <w:rPr>
                <w:sz w:val="20"/>
              </w:rPr>
            </w:pPr>
            <w:r>
              <w:rPr>
                <w:sz w:val="20"/>
              </w:rPr>
              <w:t>3005.90.90</w:t>
            </w:r>
          </w:p>
        </w:tc>
        <w:tc>
          <w:tcPr>
            <w:tcW w:w="1238" w:type="dxa"/>
          </w:tcPr>
          <w:p>
            <w:pPr>
              <w:pStyle w:val="TableParagraph"/>
              <w:ind w:left="108"/>
              <w:rPr>
                <w:sz w:val="20"/>
              </w:rPr>
            </w:pPr>
            <w:r>
              <w:rPr>
                <w:sz w:val="20"/>
              </w:rPr>
              <w:t>1119542</w:t>
            </w:r>
          </w:p>
        </w:tc>
        <w:tc>
          <w:tcPr>
            <w:tcW w:w="3021" w:type="dxa"/>
          </w:tcPr>
          <w:p>
            <w:pPr>
              <w:pStyle w:val="TableParagraph"/>
              <w:rPr>
                <w:sz w:val="20"/>
              </w:rPr>
            </w:pPr>
            <w:r>
              <w:rPr>
                <w:sz w:val="20"/>
              </w:rPr>
              <w:t>Incontinence pads, adult</w:t>
            </w:r>
          </w:p>
        </w:tc>
        <w:tc>
          <w:tcPr>
            <w:tcW w:w="1640" w:type="dxa"/>
          </w:tcPr>
          <w:p>
            <w:pPr>
              <w:pStyle w:val="TableParagraph"/>
              <w:rPr>
                <w:sz w:val="20"/>
              </w:rPr>
            </w:pPr>
            <w:r>
              <w:rPr>
                <w:sz w:val="20"/>
              </w:rPr>
              <w:t>9619.00.10</w:t>
            </w:r>
          </w:p>
        </w:tc>
        <w:tc>
          <w:tcPr>
            <w:tcW w:w="1250" w:type="dxa"/>
          </w:tcPr>
          <w:p>
            <w:pPr>
              <w:pStyle w:val="TableParagraph"/>
              <w:ind w:left="108"/>
              <w:rPr>
                <w:sz w:val="20"/>
              </w:rPr>
            </w:pPr>
            <w:r>
              <w:rPr>
                <w:sz w:val="20"/>
              </w:rPr>
              <w:t>1135153</w:t>
            </w:r>
          </w:p>
        </w:tc>
      </w:tr>
      <w:tr>
        <w:trPr>
          <w:trHeight w:val="230" w:hRule="atLeast"/>
        </w:trPr>
        <w:tc>
          <w:tcPr>
            <w:tcW w:w="1669" w:type="dxa"/>
          </w:tcPr>
          <w:p>
            <w:pPr>
              <w:pStyle w:val="TableParagraph"/>
              <w:rPr>
                <w:sz w:val="20"/>
              </w:rPr>
            </w:pPr>
            <w:r>
              <w:rPr>
                <w:sz w:val="20"/>
              </w:rPr>
              <w:t>3702.52</w:t>
            </w:r>
          </w:p>
        </w:tc>
        <w:tc>
          <w:tcPr>
            <w:tcW w:w="1238" w:type="dxa"/>
          </w:tcPr>
          <w:p>
            <w:pPr>
              <w:pStyle w:val="TableParagraph"/>
              <w:ind w:left="108"/>
              <w:rPr>
                <w:sz w:val="20"/>
              </w:rPr>
            </w:pPr>
            <w:r>
              <w:rPr>
                <w:sz w:val="20"/>
              </w:rPr>
              <w:t>8734596</w:t>
            </w:r>
          </w:p>
        </w:tc>
        <w:tc>
          <w:tcPr>
            <w:tcW w:w="3021" w:type="dxa"/>
          </w:tcPr>
          <w:p>
            <w:pPr>
              <w:pStyle w:val="TableParagraph"/>
              <w:ind w:left="108"/>
              <w:rPr>
                <w:sz w:val="20"/>
              </w:rPr>
            </w:pPr>
            <w:r>
              <w:rPr>
                <w:sz w:val="20"/>
              </w:rPr>
              <w:t>Film, cinamatographic</w:t>
            </w:r>
          </w:p>
        </w:tc>
        <w:tc>
          <w:tcPr>
            <w:tcW w:w="1640" w:type="dxa"/>
          </w:tcPr>
          <w:p>
            <w:pPr>
              <w:pStyle w:val="TableParagraph"/>
              <w:ind w:left="108"/>
              <w:rPr>
                <w:sz w:val="20"/>
              </w:rPr>
            </w:pPr>
            <w:r>
              <w:rPr>
                <w:sz w:val="20"/>
              </w:rPr>
              <w:t>3702.52.90</w:t>
            </w:r>
          </w:p>
        </w:tc>
        <w:tc>
          <w:tcPr>
            <w:tcW w:w="1250" w:type="dxa"/>
          </w:tcPr>
          <w:p>
            <w:pPr>
              <w:pStyle w:val="TableParagraph"/>
              <w:ind w:left="109"/>
              <w:rPr>
                <w:sz w:val="20"/>
              </w:rPr>
            </w:pPr>
            <w:r>
              <w:rPr>
                <w:sz w:val="20"/>
              </w:rPr>
              <w:t>1127119</w:t>
            </w:r>
          </w:p>
        </w:tc>
      </w:tr>
      <w:tr>
        <w:trPr>
          <w:trHeight w:val="230" w:hRule="atLeast"/>
        </w:trPr>
        <w:tc>
          <w:tcPr>
            <w:tcW w:w="1669" w:type="dxa"/>
          </w:tcPr>
          <w:p>
            <w:pPr>
              <w:pStyle w:val="TableParagraph"/>
              <w:rPr>
                <w:sz w:val="20"/>
              </w:rPr>
            </w:pPr>
            <w:r>
              <w:rPr>
                <w:sz w:val="20"/>
              </w:rPr>
              <w:t>3702.93</w:t>
            </w:r>
          </w:p>
        </w:tc>
        <w:tc>
          <w:tcPr>
            <w:tcW w:w="1238" w:type="dxa"/>
          </w:tcPr>
          <w:p>
            <w:pPr>
              <w:pStyle w:val="TableParagraph"/>
              <w:rPr>
                <w:sz w:val="20"/>
              </w:rPr>
            </w:pPr>
            <w:r>
              <w:rPr>
                <w:sz w:val="20"/>
              </w:rPr>
              <w:t>8734719</w:t>
            </w:r>
          </w:p>
        </w:tc>
        <w:tc>
          <w:tcPr>
            <w:tcW w:w="3021" w:type="dxa"/>
          </w:tcPr>
          <w:p>
            <w:pPr>
              <w:pStyle w:val="TableParagraph"/>
              <w:rPr>
                <w:sz w:val="20"/>
              </w:rPr>
            </w:pPr>
            <w:r>
              <w:rPr>
                <w:sz w:val="20"/>
              </w:rPr>
              <w:t>Film, photographic</w:t>
            </w:r>
          </w:p>
        </w:tc>
        <w:tc>
          <w:tcPr>
            <w:tcW w:w="1640" w:type="dxa"/>
          </w:tcPr>
          <w:p>
            <w:pPr>
              <w:pStyle w:val="TableParagraph"/>
              <w:ind w:left="109"/>
              <w:rPr>
                <w:sz w:val="20"/>
              </w:rPr>
            </w:pPr>
            <w:r>
              <w:rPr>
                <w:sz w:val="20"/>
              </w:rPr>
              <w:t>3702.96.90</w:t>
            </w:r>
          </w:p>
        </w:tc>
        <w:tc>
          <w:tcPr>
            <w:tcW w:w="1250" w:type="dxa"/>
          </w:tcPr>
          <w:p>
            <w:pPr>
              <w:pStyle w:val="TableParagraph"/>
              <w:ind w:left="109"/>
              <w:rPr>
                <w:sz w:val="20"/>
              </w:rPr>
            </w:pPr>
            <w:r>
              <w:rPr>
                <w:sz w:val="20"/>
              </w:rPr>
              <w:t>1127124</w:t>
            </w:r>
          </w:p>
        </w:tc>
      </w:tr>
      <w:tr>
        <w:trPr>
          <w:trHeight w:val="230" w:hRule="atLeast"/>
        </w:trPr>
        <w:tc>
          <w:tcPr>
            <w:tcW w:w="1669" w:type="dxa"/>
          </w:tcPr>
          <w:p>
            <w:pPr>
              <w:pStyle w:val="TableParagraph"/>
              <w:rPr>
                <w:sz w:val="20"/>
              </w:rPr>
            </w:pPr>
            <w:r>
              <w:rPr>
                <w:sz w:val="20"/>
              </w:rPr>
              <w:t>3702.93</w:t>
            </w:r>
          </w:p>
        </w:tc>
        <w:tc>
          <w:tcPr>
            <w:tcW w:w="1238" w:type="dxa"/>
          </w:tcPr>
          <w:p>
            <w:pPr>
              <w:pStyle w:val="TableParagraph"/>
              <w:rPr>
                <w:sz w:val="20"/>
              </w:rPr>
            </w:pPr>
            <w:r>
              <w:rPr>
                <w:sz w:val="20"/>
              </w:rPr>
              <w:t>8810605</w:t>
            </w:r>
          </w:p>
        </w:tc>
        <w:tc>
          <w:tcPr>
            <w:tcW w:w="3021" w:type="dxa"/>
          </w:tcPr>
          <w:p>
            <w:pPr>
              <w:pStyle w:val="TableParagraph"/>
              <w:rPr>
                <w:sz w:val="20"/>
              </w:rPr>
            </w:pPr>
            <w:r>
              <w:rPr>
                <w:sz w:val="20"/>
              </w:rPr>
              <w:t>Film spectral sensitivity</w:t>
            </w:r>
          </w:p>
        </w:tc>
        <w:tc>
          <w:tcPr>
            <w:tcW w:w="1640" w:type="dxa"/>
          </w:tcPr>
          <w:p>
            <w:pPr>
              <w:pStyle w:val="TableParagraph"/>
              <w:ind w:left="108"/>
              <w:rPr>
                <w:sz w:val="20"/>
              </w:rPr>
            </w:pPr>
            <w:r>
              <w:rPr>
                <w:sz w:val="20"/>
              </w:rPr>
              <w:t>3702.96.90</w:t>
            </w:r>
          </w:p>
        </w:tc>
        <w:tc>
          <w:tcPr>
            <w:tcW w:w="1250" w:type="dxa"/>
          </w:tcPr>
          <w:p>
            <w:pPr>
              <w:pStyle w:val="TableParagraph"/>
              <w:ind w:left="109"/>
              <w:rPr>
                <w:sz w:val="20"/>
              </w:rPr>
            </w:pPr>
            <w:r>
              <w:rPr>
                <w:sz w:val="20"/>
              </w:rPr>
              <w:t>1127128</w:t>
            </w:r>
          </w:p>
        </w:tc>
      </w:tr>
      <w:tr>
        <w:trPr>
          <w:trHeight w:val="230" w:hRule="atLeast"/>
        </w:trPr>
        <w:tc>
          <w:tcPr>
            <w:tcW w:w="1669" w:type="dxa"/>
          </w:tcPr>
          <w:p>
            <w:pPr>
              <w:pStyle w:val="TableParagraph"/>
              <w:rPr>
                <w:sz w:val="20"/>
              </w:rPr>
            </w:pPr>
            <w:r>
              <w:rPr>
                <w:sz w:val="20"/>
              </w:rPr>
              <w:t>4818.40.90</w:t>
            </w:r>
          </w:p>
        </w:tc>
        <w:tc>
          <w:tcPr>
            <w:tcW w:w="1238" w:type="dxa"/>
          </w:tcPr>
          <w:p>
            <w:pPr>
              <w:pStyle w:val="TableParagraph"/>
              <w:ind w:left="108"/>
              <w:rPr>
                <w:sz w:val="20"/>
              </w:rPr>
            </w:pPr>
            <w:r>
              <w:rPr>
                <w:sz w:val="20"/>
              </w:rPr>
              <w:t>0716337</w:t>
            </w:r>
          </w:p>
        </w:tc>
        <w:tc>
          <w:tcPr>
            <w:tcW w:w="3021" w:type="dxa"/>
          </w:tcPr>
          <w:p>
            <w:pPr>
              <w:pStyle w:val="TableParagraph"/>
              <w:ind w:left="108"/>
              <w:rPr>
                <w:sz w:val="20"/>
              </w:rPr>
            </w:pPr>
            <w:r>
              <w:rPr>
                <w:sz w:val="20"/>
              </w:rPr>
              <w:t>Pants disposable</w:t>
            </w:r>
          </w:p>
        </w:tc>
        <w:tc>
          <w:tcPr>
            <w:tcW w:w="1640" w:type="dxa"/>
          </w:tcPr>
          <w:p>
            <w:pPr>
              <w:pStyle w:val="TableParagraph"/>
              <w:ind w:left="109"/>
              <w:rPr>
                <w:sz w:val="20"/>
              </w:rPr>
            </w:pPr>
            <w:r>
              <w:rPr>
                <w:sz w:val="20"/>
              </w:rPr>
              <w:t>9619.00.29</w:t>
            </w:r>
          </w:p>
        </w:tc>
        <w:tc>
          <w:tcPr>
            <w:tcW w:w="1250" w:type="dxa"/>
          </w:tcPr>
          <w:p>
            <w:pPr>
              <w:pStyle w:val="TableParagraph"/>
              <w:ind w:left="110"/>
              <w:rPr>
                <w:sz w:val="20"/>
              </w:rPr>
            </w:pPr>
            <w:r>
              <w:rPr>
                <w:sz w:val="20"/>
              </w:rPr>
              <w:t>1134372</w:t>
            </w:r>
          </w:p>
        </w:tc>
      </w:tr>
      <w:tr>
        <w:trPr>
          <w:trHeight w:val="230" w:hRule="atLeast"/>
        </w:trPr>
        <w:tc>
          <w:tcPr>
            <w:tcW w:w="1669" w:type="dxa"/>
          </w:tcPr>
          <w:p>
            <w:pPr>
              <w:pStyle w:val="TableParagraph"/>
              <w:rPr>
                <w:sz w:val="20"/>
              </w:rPr>
            </w:pPr>
            <w:r>
              <w:rPr>
                <w:sz w:val="20"/>
              </w:rPr>
              <w:t>4818.40.90</w:t>
            </w:r>
          </w:p>
        </w:tc>
        <w:tc>
          <w:tcPr>
            <w:tcW w:w="1238" w:type="dxa"/>
          </w:tcPr>
          <w:p>
            <w:pPr>
              <w:pStyle w:val="TableParagraph"/>
              <w:ind w:left="108"/>
              <w:rPr>
                <w:sz w:val="20"/>
              </w:rPr>
            </w:pPr>
            <w:r>
              <w:rPr>
                <w:sz w:val="20"/>
              </w:rPr>
              <w:t>0800042</w:t>
            </w:r>
          </w:p>
        </w:tc>
        <w:tc>
          <w:tcPr>
            <w:tcW w:w="3021" w:type="dxa"/>
          </w:tcPr>
          <w:p>
            <w:pPr>
              <w:pStyle w:val="TableParagraph"/>
              <w:ind w:left="108"/>
              <w:rPr>
                <w:sz w:val="20"/>
              </w:rPr>
            </w:pPr>
            <w:r>
              <w:rPr>
                <w:sz w:val="20"/>
              </w:rPr>
              <w:t>Pants disposable</w:t>
            </w:r>
          </w:p>
        </w:tc>
        <w:tc>
          <w:tcPr>
            <w:tcW w:w="1640" w:type="dxa"/>
          </w:tcPr>
          <w:p>
            <w:pPr>
              <w:pStyle w:val="TableParagraph"/>
              <w:ind w:left="109"/>
              <w:rPr>
                <w:sz w:val="20"/>
              </w:rPr>
            </w:pPr>
            <w:r>
              <w:rPr>
                <w:sz w:val="20"/>
              </w:rPr>
              <w:t>9619.00.29</w:t>
            </w:r>
          </w:p>
        </w:tc>
        <w:tc>
          <w:tcPr>
            <w:tcW w:w="1250" w:type="dxa"/>
          </w:tcPr>
          <w:p>
            <w:pPr>
              <w:pStyle w:val="TableParagraph"/>
              <w:ind w:left="110"/>
              <w:rPr>
                <w:sz w:val="20"/>
              </w:rPr>
            </w:pPr>
            <w:r>
              <w:rPr>
                <w:sz w:val="20"/>
              </w:rPr>
              <w:t>1134375</w:t>
            </w:r>
          </w:p>
        </w:tc>
      </w:tr>
      <w:tr>
        <w:trPr>
          <w:trHeight w:val="230" w:hRule="atLeast"/>
        </w:trPr>
        <w:tc>
          <w:tcPr>
            <w:tcW w:w="1669" w:type="dxa"/>
          </w:tcPr>
          <w:p>
            <w:pPr>
              <w:pStyle w:val="TableParagraph"/>
              <w:rPr>
                <w:sz w:val="20"/>
              </w:rPr>
            </w:pPr>
            <w:r>
              <w:rPr>
                <w:sz w:val="20"/>
              </w:rPr>
              <w:t>5601.10.90</w:t>
            </w:r>
          </w:p>
        </w:tc>
        <w:tc>
          <w:tcPr>
            <w:tcW w:w="1238" w:type="dxa"/>
          </w:tcPr>
          <w:p>
            <w:pPr>
              <w:pStyle w:val="TableParagraph"/>
              <w:ind w:left="108"/>
              <w:rPr>
                <w:sz w:val="20"/>
              </w:rPr>
            </w:pPr>
            <w:r>
              <w:rPr>
                <w:sz w:val="20"/>
              </w:rPr>
              <w:t>9305048</w:t>
            </w:r>
          </w:p>
        </w:tc>
        <w:tc>
          <w:tcPr>
            <w:tcW w:w="3021" w:type="dxa"/>
          </w:tcPr>
          <w:p>
            <w:pPr>
              <w:pStyle w:val="TableParagraph"/>
              <w:rPr>
                <w:sz w:val="20"/>
              </w:rPr>
            </w:pPr>
            <w:r>
              <w:rPr>
                <w:sz w:val="20"/>
              </w:rPr>
              <w:t>Nursing pads</w:t>
            </w:r>
          </w:p>
        </w:tc>
        <w:tc>
          <w:tcPr>
            <w:tcW w:w="1640" w:type="dxa"/>
          </w:tcPr>
          <w:p>
            <w:pPr>
              <w:pStyle w:val="TableParagraph"/>
              <w:ind w:left="108"/>
              <w:rPr>
                <w:sz w:val="20"/>
              </w:rPr>
            </w:pPr>
            <w:r>
              <w:rPr>
                <w:sz w:val="20"/>
              </w:rPr>
              <w:t>9619.00.29</w:t>
            </w:r>
          </w:p>
        </w:tc>
        <w:tc>
          <w:tcPr>
            <w:tcW w:w="1250" w:type="dxa"/>
          </w:tcPr>
          <w:p>
            <w:pPr>
              <w:pStyle w:val="TableParagraph"/>
              <w:ind w:left="109"/>
              <w:rPr>
                <w:sz w:val="20"/>
              </w:rPr>
            </w:pPr>
            <w:r>
              <w:rPr>
                <w:sz w:val="20"/>
              </w:rPr>
              <w:t>1134376</w:t>
            </w:r>
          </w:p>
        </w:tc>
      </w:tr>
      <w:tr>
        <w:trPr>
          <w:trHeight w:val="230" w:hRule="atLeast"/>
        </w:trPr>
        <w:tc>
          <w:tcPr>
            <w:tcW w:w="1669" w:type="dxa"/>
          </w:tcPr>
          <w:p>
            <w:pPr>
              <w:pStyle w:val="TableParagraph"/>
              <w:rPr>
                <w:sz w:val="20"/>
              </w:rPr>
            </w:pPr>
            <w:r>
              <w:rPr>
                <w:sz w:val="20"/>
              </w:rPr>
              <w:t>7418.19.00</w:t>
            </w:r>
          </w:p>
        </w:tc>
        <w:tc>
          <w:tcPr>
            <w:tcW w:w="1238" w:type="dxa"/>
          </w:tcPr>
          <w:p>
            <w:pPr>
              <w:pStyle w:val="TableParagraph"/>
              <w:ind w:left="108"/>
              <w:rPr>
                <w:sz w:val="20"/>
              </w:rPr>
            </w:pPr>
            <w:r>
              <w:rPr>
                <w:sz w:val="20"/>
              </w:rPr>
              <w:t>9605026</w:t>
            </w:r>
          </w:p>
        </w:tc>
        <w:tc>
          <w:tcPr>
            <w:tcW w:w="3021" w:type="dxa"/>
          </w:tcPr>
          <w:p>
            <w:pPr>
              <w:pStyle w:val="TableParagraph"/>
              <w:rPr>
                <w:sz w:val="20"/>
              </w:rPr>
            </w:pPr>
            <w:r>
              <w:rPr>
                <w:sz w:val="20"/>
              </w:rPr>
              <w:t>Blanks, brass</w:t>
            </w:r>
          </w:p>
        </w:tc>
        <w:tc>
          <w:tcPr>
            <w:tcW w:w="1640" w:type="dxa"/>
          </w:tcPr>
          <w:p>
            <w:pPr>
              <w:pStyle w:val="TableParagraph"/>
              <w:ind w:left="109"/>
              <w:rPr>
                <w:sz w:val="20"/>
              </w:rPr>
            </w:pPr>
            <w:r>
              <w:rPr>
                <w:sz w:val="20"/>
              </w:rPr>
              <w:t>7418.10.00</w:t>
            </w:r>
          </w:p>
        </w:tc>
        <w:tc>
          <w:tcPr>
            <w:tcW w:w="1250" w:type="dxa"/>
          </w:tcPr>
          <w:p>
            <w:pPr>
              <w:pStyle w:val="TableParagraph"/>
              <w:ind w:left="109"/>
              <w:rPr>
                <w:sz w:val="20"/>
              </w:rPr>
            </w:pPr>
            <w:r>
              <w:rPr>
                <w:sz w:val="20"/>
              </w:rPr>
              <w:t>1130544</w:t>
            </w:r>
          </w:p>
        </w:tc>
      </w:tr>
      <w:tr>
        <w:trPr>
          <w:trHeight w:val="230" w:hRule="atLeast"/>
        </w:trPr>
        <w:tc>
          <w:tcPr>
            <w:tcW w:w="1669" w:type="dxa"/>
          </w:tcPr>
          <w:p>
            <w:pPr>
              <w:pStyle w:val="TableParagraph"/>
              <w:rPr>
                <w:sz w:val="20"/>
              </w:rPr>
            </w:pPr>
            <w:r>
              <w:rPr>
                <w:sz w:val="20"/>
              </w:rPr>
              <w:t>7615.19</w:t>
            </w:r>
          </w:p>
        </w:tc>
        <w:tc>
          <w:tcPr>
            <w:tcW w:w="1238" w:type="dxa"/>
          </w:tcPr>
          <w:p>
            <w:pPr>
              <w:pStyle w:val="TableParagraph"/>
              <w:ind w:left="108"/>
              <w:rPr>
                <w:sz w:val="20"/>
              </w:rPr>
            </w:pPr>
            <w:r>
              <w:rPr>
                <w:sz w:val="20"/>
              </w:rPr>
              <w:t>9602349</w:t>
            </w:r>
          </w:p>
        </w:tc>
        <w:tc>
          <w:tcPr>
            <w:tcW w:w="3021" w:type="dxa"/>
          </w:tcPr>
          <w:p>
            <w:pPr>
              <w:pStyle w:val="TableParagraph"/>
              <w:ind w:left="108"/>
              <w:rPr>
                <w:sz w:val="20"/>
              </w:rPr>
            </w:pPr>
            <w:r>
              <w:rPr>
                <w:sz w:val="20"/>
              </w:rPr>
              <w:t>Dispensers, cream</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1130550</w:t>
            </w:r>
          </w:p>
        </w:tc>
      </w:tr>
      <w:tr>
        <w:trPr>
          <w:trHeight w:val="230" w:hRule="atLeast"/>
        </w:trPr>
        <w:tc>
          <w:tcPr>
            <w:tcW w:w="1669" w:type="dxa"/>
          </w:tcPr>
          <w:p>
            <w:pPr>
              <w:pStyle w:val="TableParagraph"/>
              <w:rPr>
                <w:sz w:val="20"/>
              </w:rPr>
            </w:pPr>
            <w:r>
              <w:rPr>
                <w:sz w:val="20"/>
              </w:rPr>
              <w:t>7615.19</w:t>
            </w:r>
          </w:p>
        </w:tc>
        <w:tc>
          <w:tcPr>
            <w:tcW w:w="1238" w:type="dxa"/>
          </w:tcPr>
          <w:p>
            <w:pPr>
              <w:pStyle w:val="TableParagraph"/>
              <w:rPr>
                <w:sz w:val="20"/>
              </w:rPr>
            </w:pPr>
            <w:r>
              <w:rPr>
                <w:sz w:val="20"/>
              </w:rPr>
              <w:t>9602350</w:t>
            </w:r>
          </w:p>
        </w:tc>
        <w:tc>
          <w:tcPr>
            <w:tcW w:w="3021" w:type="dxa"/>
          </w:tcPr>
          <w:p>
            <w:pPr>
              <w:pStyle w:val="TableParagraph"/>
              <w:rPr>
                <w:sz w:val="20"/>
              </w:rPr>
            </w:pPr>
            <w:r>
              <w:rPr>
                <w:sz w:val="20"/>
              </w:rPr>
              <w:t>Coffee maker</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1130575</w:t>
            </w:r>
          </w:p>
        </w:tc>
      </w:tr>
      <w:tr>
        <w:trPr>
          <w:trHeight w:val="230" w:hRule="atLeast"/>
        </w:trPr>
        <w:tc>
          <w:tcPr>
            <w:tcW w:w="1669" w:type="dxa"/>
          </w:tcPr>
          <w:p>
            <w:pPr>
              <w:pStyle w:val="TableParagraph"/>
              <w:rPr>
                <w:sz w:val="20"/>
              </w:rPr>
            </w:pPr>
            <w:r>
              <w:rPr>
                <w:sz w:val="20"/>
              </w:rPr>
              <w:t>7615.19</w:t>
            </w:r>
          </w:p>
        </w:tc>
        <w:tc>
          <w:tcPr>
            <w:tcW w:w="1238" w:type="dxa"/>
          </w:tcPr>
          <w:p>
            <w:pPr>
              <w:pStyle w:val="TableParagraph"/>
              <w:ind w:left="108"/>
              <w:rPr>
                <w:sz w:val="20"/>
              </w:rPr>
            </w:pPr>
            <w:r>
              <w:rPr>
                <w:sz w:val="20"/>
              </w:rPr>
              <w:t>9603329</w:t>
            </w:r>
          </w:p>
        </w:tc>
        <w:tc>
          <w:tcPr>
            <w:tcW w:w="3021" w:type="dxa"/>
          </w:tcPr>
          <w:p>
            <w:pPr>
              <w:pStyle w:val="TableParagraph"/>
              <w:rPr>
                <w:sz w:val="20"/>
              </w:rPr>
            </w:pPr>
            <w:r>
              <w:rPr>
                <w:sz w:val="20"/>
              </w:rPr>
              <w:t>Syphons, soda</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1130540</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1110345</w:t>
            </w:r>
          </w:p>
        </w:tc>
        <w:tc>
          <w:tcPr>
            <w:tcW w:w="3021" w:type="dxa"/>
          </w:tcPr>
          <w:p>
            <w:pPr>
              <w:pStyle w:val="TableParagraph"/>
              <w:rPr>
                <w:sz w:val="20"/>
              </w:rPr>
            </w:pPr>
            <w:r>
              <w:rPr>
                <w:sz w:val="20"/>
              </w:rPr>
              <w:t>Bottle, beverage</w:t>
            </w:r>
          </w:p>
        </w:tc>
        <w:tc>
          <w:tcPr>
            <w:tcW w:w="1640" w:type="dxa"/>
          </w:tcPr>
          <w:p>
            <w:pPr>
              <w:pStyle w:val="TableParagraph"/>
              <w:ind w:left="109"/>
              <w:rPr>
                <w:sz w:val="20"/>
              </w:rPr>
            </w:pPr>
            <w:r>
              <w:rPr>
                <w:sz w:val="20"/>
              </w:rPr>
              <w:t>7615.10.00</w:t>
            </w:r>
          </w:p>
        </w:tc>
        <w:tc>
          <w:tcPr>
            <w:tcW w:w="1250" w:type="dxa"/>
          </w:tcPr>
          <w:p>
            <w:pPr>
              <w:pStyle w:val="TableParagraph"/>
              <w:ind w:left="109"/>
              <w:rPr>
                <w:sz w:val="20"/>
              </w:rPr>
            </w:pPr>
            <w:r>
              <w:rPr>
                <w:sz w:val="20"/>
              </w:rPr>
              <w:t>1130460</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1007624</w:t>
            </w:r>
          </w:p>
        </w:tc>
        <w:tc>
          <w:tcPr>
            <w:tcW w:w="3021" w:type="dxa"/>
          </w:tcPr>
          <w:p>
            <w:pPr>
              <w:pStyle w:val="TableParagraph"/>
              <w:rPr>
                <w:sz w:val="20"/>
              </w:rPr>
            </w:pPr>
            <w:r>
              <w:rPr>
                <w:sz w:val="20"/>
              </w:rPr>
              <w:t>Moulds, ice</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1130465</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1006378</w:t>
            </w:r>
          </w:p>
        </w:tc>
        <w:tc>
          <w:tcPr>
            <w:tcW w:w="3021" w:type="dxa"/>
          </w:tcPr>
          <w:p>
            <w:pPr>
              <w:pStyle w:val="TableParagraph"/>
              <w:ind w:left="108"/>
              <w:rPr>
                <w:sz w:val="20"/>
              </w:rPr>
            </w:pPr>
            <w:r>
              <w:rPr>
                <w:sz w:val="20"/>
              </w:rPr>
              <w:t>Bins, waste</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1130469</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0906874</w:t>
            </w:r>
          </w:p>
        </w:tc>
        <w:tc>
          <w:tcPr>
            <w:tcW w:w="3021" w:type="dxa"/>
          </w:tcPr>
          <w:p>
            <w:pPr>
              <w:pStyle w:val="TableParagraph"/>
              <w:ind w:left="108"/>
              <w:rPr>
                <w:sz w:val="20"/>
              </w:rPr>
            </w:pPr>
            <w:r>
              <w:rPr>
                <w:sz w:val="20"/>
              </w:rPr>
              <w:t>Egg rings, diffuser</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1130494</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0617298</w:t>
            </w:r>
          </w:p>
        </w:tc>
        <w:tc>
          <w:tcPr>
            <w:tcW w:w="3021" w:type="dxa"/>
          </w:tcPr>
          <w:p>
            <w:pPr>
              <w:pStyle w:val="TableParagraph"/>
              <w:ind w:left="108"/>
              <w:rPr>
                <w:sz w:val="20"/>
              </w:rPr>
            </w:pPr>
            <w:r>
              <w:rPr>
                <w:sz w:val="20"/>
              </w:rPr>
              <w:t>cookware</w:t>
            </w:r>
          </w:p>
        </w:tc>
        <w:tc>
          <w:tcPr>
            <w:tcW w:w="1640" w:type="dxa"/>
          </w:tcPr>
          <w:p>
            <w:pPr>
              <w:pStyle w:val="TableParagraph"/>
              <w:ind w:left="108"/>
              <w:rPr>
                <w:sz w:val="20"/>
              </w:rPr>
            </w:pPr>
            <w:r>
              <w:rPr>
                <w:sz w:val="20"/>
              </w:rPr>
              <w:t>7615.10.00</w:t>
            </w:r>
          </w:p>
        </w:tc>
        <w:tc>
          <w:tcPr>
            <w:tcW w:w="1250" w:type="dxa"/>
          </w:tcPr>
          <w:p>
            <w:pPr>
              <w:pStyle w:val="TableParagraph"/>
              <w:ind w:left="108"/>
              <w:rPr>
                <w:sz w:val="20"/>
              </w:rPr>
            </w:pPr>
            <w:r>
              <w:rPr>
                <w:sz w:val="20"/>
              </w:rPr>
              <w:t>1130499</w:t>
            </w:r>
          </w:p>
        </w:tc>
      </w:tr>
      <w:tr>
        <w:trPr>
          <w:trHeight w:val="228" w:hRule="atLeast"/>
        </w:trPr>
        <w:tc>
          <w:tcPr>
            <w:tcW w:w="1669" w:type="dxa"/>
          </w:tcPr>
          <w:p>
            <w:pPr>
              <w:pStyle w:val="TableParagraph"/>
              <w:spacing w:line="209" w:lineRule="exact"/>
              <w:rPr>
                <w:sz w:val="20"/>
              </w:rPr>
            </w:pPr>
            <w:r>
              <w:rPr>
                <w:sz w:val="20"/>
              </w:rPr>
              <w:t>7615.19.00</w:t>
            </w:r>
          </w:p>
        </w:tc>
        <w:tc>
          <w:tcPr>
            <w:tcW w:w="1238" w:type="dxa"/>
          </w:tcPr>
          <w:p>
            <w:pPr>
              <w:pStyle w:val="TableParagraph"/>
              <w:spacing w:line="209" w:lineRule="exact"/>
              <w:ind w:left="108"/>
              <w:rPr>
                <w:sz w:val="20"/>
              </w:rPr>
            </w:pPr>
            <w:r>
              <w:rPr>
                <w:sz w:val="20"/>
              </w:rPr>
              <w:t>0708935</w:t>
            </w:r>
          </w:p>
        </w:tc>
        <w:tc>
          <w:tcPr>
            <w:tcW w:w="3021" w:type="dxa"/>
          </w:tcPr>
          <w:p>
            <w:pPr>
              <w:pStyle w:val="TableParagraph"/>
              <w:spacing w:line="209" w:lineRule="exact"/>
              <w:ind w:left="108"/>
              <w:rPr>
                <w:sz w:val="20"/>
              </w:rPr>
            </w:pPr>
            <w:r>
              <w:rPr>
                <w:sz w:val="20"/>
              </w:rPr>
              <w:t>Baskets, etc..</w:t>
            </w:r>
          </w:p>
        </w:tc>
        <w:tc>
          <w:tcPr>
            <w:tcW w:w="1640" w:type="dxa"/>
          </w:tcPr>
          <w:p>
            <w:pPr>
              <w:pStyle w:val="TableParagraph"/>
              <w:spacing w:line="209" w:lineRule="exact"/>
              <w:ind w:left="109"/>
              <w:rPr>
                <w:sz w:val="20"/>
              </w:rPr>
            </w:pPr>
            <w:r>
              <w:rPr>
                <w:sz w:val="20"/>
              </w:rPr>
              <w:t>7615.10.00</w:t>
            </w:r>
          </w:p>
        </w:tc>
        <w:tc>
          <w:tcPr>
            <w:tcW w:w="1250" w:type="dxa"/>
          </w:tcPr>
          <w:p>
            <w:pPr>
              <w:pStyle w:val="TableParagraph"/>
              <w:spacing w:line="209" w:lineRule="exact"/>
              <w:ind w:left="109"/>
              <w:rPr>
                <w:sz w:val="20"/>
              </w:rPr>
            </w:pPr>
            <w:r>
              <w:rPr>
                <w:sz w:val="20"/>
              </w:rPr>
              <w:t>1130502</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rPr>
                <w:sz w:val="20"/>
              </w:rPr>
            </w:pPr>
            <w:r>
              <w:rPr>
                <w:sz w:val="20"/>
              </w:rPr>
              <w:t>0708942</w:t>
            </w:r>
          </w:p>
        </w:tc>
        <w:tc>
          <w:tcPr>
            <w:tcW w:w="3021" w:type="dxa"/>
          </w:tcPr>
          <w:p>
            <w:pPr>
              <w:pStyle w:val="TableParagraph"/>
              <w:rPr>
                <w:sz w:val="20"/>
              </w:rPr>
            </w:pPr>
            <w:r>
              <w:rPr>
                <w:sz w:val="20"/>
              </w:rPr>
              <w:t>Baskets, tablewares</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1132500</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0708943</w:t>
            </w:r>
          </w:p>
        </w:tc>
        <w:tc>
          <w:tcPr>
            <w:tcW w:w="3021" w:type="dxa"/>
          </w:tcPr>
          <w:p>
            <w:pPr>
              <w:pStyle w:val="TableParagraph"/>
              <w:ind w:left="108"/>
              <w:rPr>
                <w:sz w:val="20"/>
              </w:rPr>
            </w:pPr>
            <w:r>
              <w:rPr>
                <w:sz w:val="20"/>
              </w:rPr>
              <w:t>Utensils,…bag dispensers…etc</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1132501</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0718999</w:t>
            </w:r>
          </w:p>
        </w:tc>
        <w:tc>
          <w:tcPr>
            <w:tcW w:w="3021" w:type="dxa"/>
          </w:tcPr>
          <w:p>
            <w:pPr>
              <w:pStyle w:val="TableParagraph"/>
              <w:rPr>
                <w:sz w:val="20"/>
              </w:rPr>
            </w:pPr>
            <w:r>
              <w:rPr>
                <w:sz w:val="20"/>
              </w:rPr>
              <w:t>Ovens, solar</w:t>
            </w:r>
          </w:p>
        </w:tc>
        <w:tc>
          <w:tcPr>
            <w:tcW w:w="1640" w:type="dxa"/>
          </w:tcPr>
          <w:p>
            <w:pPr>
              <w:pStyle w:val="TableParagraph"/>
              <w:ind w:left="109"/>
              <w:rPr>
                <w:sz w:val="20"/>
              </w:rPr>
            </w:pPr>
            <w:r>
              <w:rPr>
                <w:sz w:val="20"/>
              </w:rPr>
              <w:t>7615.10.00</w:t>
            </w:r>
          </w:p>
        </w:tc>
        <w:tc>
          <w:tcPr>
            <w:tcW w:w="1250" w:type="dxa"/>
          </w:tcPr>
          <w:p>
            <w:pPr>
              <w:pStyle w:val="TableParagraph"/>
              <w:ind w:left="109"/>
              <w:rPr>
                <w:sz w:val="20"/>
              </w:rPr>
            </w:pPr>
            <w:r>
              <w:rPr>
                <w:sz w:val="20"/>
              </w:rPr>
              <w:t>1132503</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0803627</w:t>
            </w:r>
          </w:p>
        </w:tc>
        <w:tc>
          <w:tcPr>
            <w:tcW w:w="3021" w:type="dxa"/>
          </w:tcPr>
          <w:p>
            <w:pPr>
              <w:pStyle w:val="TableParagraph"/>
              <w:ind w:left="108"/>
              <w:rPr>
                <w:sz w:val="20"/>
              </w:rPr>
            </w:pPr>
            <w:r>
              <w:rPr>
                <w:sz w:val="20"/>
              </w:rPr>
              <w:t>Containers</w:t>
            </w:r>
          </w:p>
        </w:tc>
        <w:tc>
          <w:tcPr>
            <w:tcW w:w="1640" w:type="dxa"/>
          </w:tcPr>
          <w:p>
            <w:pPr>
              <w:pStyle w:val="TableParagraph"/>
              <w:ind w:left="109"/>
              <w:rPr>
                <w:sz w:val="20"/>
              </w:rPr>
            </w:pPr>
            <w:r>
              <w:rPr>
                <w:sz w:val="20"/>
              </w:rPr>
              <w:t>7615.10.00</w:t>
            </w:r>
          </w:p>
        </w:tc>
        <w:tc>
          <w:tcPr>
            <w:tcW w:w="1250" w:type="dxa"/>
          </w:tcPr>
          <w:p>
            <w:pPr>
              <w:pStyle w:val="TableParagraph"/>
              <w:ind w:left="109"/>
              <w:rPr>
                <w:sz w:val="20"/>
              </w:rPr>
            </w:pPr>
            <w:r>
              <w:rPr>
                <w:sz w:val="20"/>
              </w:rPr>
              <w:t>1132504</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0815983</w:t>
            </w:r>
          </w:p>
        </w:tc>
        <w:tc>
          <w:tcPr>
            <w:tcW w:w="3021" w:type="dxa"/>
          </w:tcPr>
          <w:p>
            <w:pPr>
              <w:pStyle w:val="TableParagraph"/>
              <w:rPr>
                <w:sz w:val="20"/>
              </w:rPr>
            </w:pPr>
            <w:r>
              <w:rPr>
                <w:sz w:val="20"/>
              </w:rPr>
              <w:t>Containers, smooth lids</w:t>
            </w:r>
          </w:p>
        </w:tc>
        <w:tc>
          <w:tcPr>
            <w:tcW w:w="1640" w:type="dxa"/>
          </w:tcPr>
          <w:p>
            <w:pPr>
              <w:pStyle w:val="TableParagraph"/>
              <w:ind w:left="109"/>
              <w:rPr>
                <w:sz w:val="20"/>
              </w:rPr>
            </w:pPr>
            <w:r>
              <w:rPr>
                <w:sz w:val="20"/>
              </w:rPr>
              <w:t>7615.10.00</w:t>
            </w:r>
          </w:p>
        </w:tc>
        <w:tc>
          <w:tcPr>
            <w:tcW w:w="1250" w:type="dxa"/>
          </w:tcPr>
          <w:p>
            <w:pPr>
              <w:pStyle w:val="TableParagraph"/>
              <w:ind w:left="110"/>
              <w:rPr>
                <w:sz w:val="20"/>
              </w:rPr>
            </w:pPr>
            <w:r>
              <w:rPr>
                <w:sz w:val="20"/>
              </w:rPr>
              <w:t>1132506</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0818848</w:t>
            </w:r>
          </w:p>
        </w:tc>
        <w:tc>
          <w:tcPr>
            <w:tcW w:w="3021" w:type="dxa"/>
          </w:tcPr>
          <w:p>
            <w:pPr>
              <w:pStyle w:val="TableParagraph"/>
              <w:rPr>
                <w:sz w:val="20"/>
              </w:rPr>
            </w:pPr>
            <w:r>
              <w:rPr>
                <w:sz w:val="20"/>
              </w:rPr>
              <w:t>Buckets, hot water bottles</w:t>
            </w:r>
          </w:p>
        </w:tc>
        <w:tc>
          <w:tcPr>
            <w:tcW w:w="1640" w:type="dxa"/>
          </w:tcPr>
          <w:p>
            <w:pPr>
              <w:pStyle w:val="TableParagraph"/>
              <w:ind w:left="109"/>
              <w:rPr>
                <w:sz w:val="20"/>
              </w:rPr>
            </w:pPr>
            <w:r>
              <w:rPr>
                <w:sz w:val="20"/>
              </w:rPr>
              <w:t>7615.10.00</w:t>
            </w:r>
          </w:p>
        </w:tc>
        <w:tc>
          <w:tcPr>
            <w:tcW w:w="1250" w:type="dxa"/>
          </w:tcPr>
          <w:p>
            <w:pPr>
              <w:pStyle w:val="TableParagraph"/>
              <w:ind w:left="110"/>
              <w:rPr>
                <w:sz w:val="20"/>
              </w:rPr>
            </w:pPr>
            <w:r>
              <w:rPr>
                <w:sz w:val="20"/>
              </w:rPr>
              <w:t>1132507</w:t>
            </w:r>
          </w:p>
        </w:tc>
      </w:tr>
      <w:tr>
        <w:trPr>
          <w:trHeight w:val="230" w:hRule="atLeast"/>
        </w:trPr>
        <w:tc>
          <w:tcPr>
            <w:tcW w:w="1669" w:type="dxa"/>
          </w:tcPr>
          <w:p>
            <w:pPr>
              <w:pStyle w:val="TableParagraph"/>
              <w:rPr>
                <w:sz w:val="20"/>
              </w:rPr>
            </w:pPr>
            <w:r>
              <w:rPr>
                <w:sz w:val="20"/>
              </w:rPr>
              <w:t>7618.19.00</w:t>
            </w:r>
          </w:p>
        </w:tc>
        <w:tc>
          <w:tcPr>
            <w:tcW w:w="1238" w:type="dxa"/>
          </w:tcPr>
          <w:p>
            <w:pPr>
              <w:pStyle w:val="TableParagraph"/>
              <w:ind w:left="108"/>
              <w:rPr>
                <w:sz w:val="20"/>
              </w:rPr>
            </w:pPr>
            <w:r>
              <w:rPr>
                <w:sz w:val="20"/>
              </w:rPr>
              <w:t>0821517</w:t>
            </w:r>
          </w:p>
        </w:tc>
        <w:tc>
          <w:tcPr>
            <w:tcW w:w="3021" w:type="dxa"/>
          </w:tcPr>
          <w:p>
            <w:pPr>
              <w:pStyle w:val="TableParagraph"/>
              <w:ind w:left="108"/>
              <w:rPr>
                <w:sz w:val="20"/>
              </w:rPr>
            </w:pPr>
            <w:r>
              <w:rPr>
                <w:sz w:val="20"/>
              </w:rPr>
              <w:t>Container lined</w:t>
            </w:r>
          </w:p>
        </w:tc>
        <w:tc>
          <w:tcPr>
            <w:tcW w:w="1640" w:type="dxa"/>
          </w:tcPr>
          <w:p>
            <w:pPr>
              <w:pStyle w:val="TableParagraph"/>
              <w:rPr>
                <w:sz w:val="20"/>
              </w:rPr>
            </w:pPr>
            <w:r>
              <w:rPr>
                <w:sz w:val="20"/>
              </w:rPr>
              <w:t>7615.10.00</w:t>
            </w:r>
          </w:p>
        </w:tc>
        <w:tc>
          <w:tcPr>
            <w:tcW w:w="1250" w:type="dxa"/>
          </w:tcPr>
          <w:p>
            <w:pPr>
              <w:pStyle w:val="TableParagraph"/>
              <w:ind w:left="108"/>
              <w:rPr>
                <w:sz w:val="20"/>
              </w:rPr>
            </w:pPr>
            <w:r>
              <w:rPr>
                <w:sz w:val="20"/>
              </w:rPr>
              <w:t>1132508</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9601901</w:t>
            </w:r>
          </w:p>
        </w:tc>
        <w:tc>
          <w:tcPr>
            <w:tcW w:w="3021" w:type="dxa"/>
          </w:tcPr>
          <w:p>
            <w:pPr>
              <w:pStyle w:val="TableParagraph"/>
              <w:rPr>
                <w:sz w:val="20"/>
              </w:rPr>
            </w:pPr>
            <w:r>
              <w:rPr>
                <w:sz w:val="20"/>
              </w:rPr>
              <w:t>Sink strainers</w:t>
            </w:r>
          </w:p>
        </w:tc>
        <w:tc>
          <w:tcPr>
            <w:tcW w:w="1640" w:type="dxa"/>
          </w:tcPr>
          <w:p>
            <w:pPr>
              <w:pStyle w:val="TableParagraph"/>
              <w:ind w:left="108"/>
              <w:rPr>
                <w:sz w:val="20"/>
              </w:rPr>
            </w:pPr>
            <w:r>
              <w:rPr>
                <w:sz w:val="20"/>
              </w:rPr>
              <w:t>7615.10.00</w:t>
            </w:r>
          </w:p>
        </w:tc>
        <w:tc>
          <w:tcPr>
            <w:tcW w:w="1250" w:type="dxa"/>
          </w:tcPr>
          <w:p>
            <w:pPr>
              <w:pStyle w:val="TableParagraph"/>
              <w:ind w:left="108"/>
              <w:rPr>
                <w:sz w:val="20"/>
              </w:rPr>
            </w:pPr>
            <w:r>
              <w:rPr>
                <w:sz w:val="20"/>
              </w:rPr>
              <w:t>1132509</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9602590</w:t>
            </w:r>
          </w:p>
        </w:tc>
        <w:tc>
          <w:tcPr>
            <w:tcW w:w="3021" w:type="dxa"/>
          </w:tcPr>
          <w:p>
            <w:pPr>
              <w:pStyle w:val="TableParagraph"/>
              <w:ind w:left="108"/>
              <w:rPr>
                <w:sz w:val="20"/>
              </w:rPr>
            </w:pPr>
            <w:r>
              <w:rPr>
                <w:sz w:val="20"/>
              </w:rPr>
              <w:t>Camping equipment</w:t>
            </w:r>
          </w:p>
        </w:tc>
        <w:tc>
          <w:tcPr>
            <w:tcW w:w="1640" w:type="dxa"/>
          </w:tcPr>
          <w:p>
            <w:pPr>
              <w:pStyle w:val="TableParagraph"/>
              <w:ind w:left="108"/>
              <w:rPr>
                <w:sz w:val="20"/>
              </w:rPr>
            </w:pPr>
            <w:r>
              <w:rPr>
                <w:sz w:val="20"/>
              </w:rPr>
              <w:t>7615.10.00</w:t>
            </w:r>
          </w:p>
        </w:tc>
        <w:tc>
          <w:tcPr>
            <w:tcW w:w="1250" w:type="dxa"/>
          </w:tcPr>
          <w:p>
            <w:pPr>
              <w:pStyle w:val="TableParagraph"/>
              <w:ind w:left="108"/>
              <w:rPr>
                <w:sz w:val="20"/>
              </w:rPr>
            </w:pPr>
            <w:r>
              <w:rPr>
                <w:sz w:val="20"/>
              </w:rPr>
              <w:t>1134384</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9602641</w:t>
            </w:r>
          </w:p>
        </w:tc>
        <w:tc>
          <w:tcPr>
            <w:tcW w:w="3021" w:type="dxa"/>
          </w:tcPr>
          <w:p>
            <w:pPr>
              <w:pStyle w:val="TableParagraph"/>
              <w:ind w:left="108"/>
              <w:rPr>
                <w:sz w:val="20"/>
              </w:rPr>
            </w:pPr>
            <w:r>
              <w:rPr>
                <w:sz w:val="20"/>
              </w:rPr>
              <w:t>Outdoor stove sets</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1134388</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ind w:left="108"/>
              <w:rPr>
                <w:sz w:val="20"/>
              </w:rPr>
            </w:pPr>
            <w:r>
              <w:rPr>
                <w:sz w:val="20"/>
              </w:rPr>
              <w:t>9801112</w:t>
            </w:r>
          </w:p>
        </w:tc>
        <w:tc>
          <w:tcPr>
            <w:tcW w:w="3021" w:type="dxa"/>
          </w:tcPr>
          <w:p>
            <w:pPr>
              <w:pStyle w:val="TableParagraph"/>
              <w:ind w:left="108"/>
              <w:rPr>
                <w:sz w:val="20"/>
              </w:rPr>
            </w:pPr>
            <w:r>
              <w:rPr>
                <w:sz w:val="20"/>
              </w:rPr>
              <w:t>Camping equipment</w:t>
            </w:r>
          </w:p>
        </w:tc>
        <w:tc>
          <w:tcPr>
            <w:tcW w:w="1640" w:type="dxa"/>
          </w:tcPr>
          <w:p>
            <w:pPr>
              <w:pStyle w:val="TableParagraph"/>
              <w:ind w:left="108"/>
              <w:rPr>
                <w:sz w:val="20"/>
              </w:rPr>
            </w:pPr>
            <w:r>
              <w:rPr>
                <w:sz w:val="20"/>
              </w:rPr>
              <w:t>7615.10.00</w:t>
            </w:r>
          </w:p>
        </w:tc>
        <w:tc>
          <w:tcPr>
            <w:tcW w:w="1250" w:type="dxa"/>
          </w:tcPr>
          <w:p>
            <w:pPr>
              <w:pStyle w:val="TableParagraph"/>
              <w:ind w:left="108"/>
              <w:rPr>
                <w:sz w:val="20"/>
              </w:rPr>
            </w:pPr>
            <w:r>
              <w:rPr>
                <w:sz w:val="20"/>
              </w:rPr>
              <w:t>1134435</w:t>
            </w:r>
          </w:p>
        </w:tc>
      </w:tr>
      <w:tr>
        <w:trPr>
          <w:trHeight w:val="230" w:hRule="atLeast"/>
        </w:trPr>
        <w:tc>
          <w:tcPr>
            <w:tcW w:w="1669" w:type="dxa"/>
          </w:tcPr>
          <w:p>
            <w:pPr>
              <w:pStyle w:val="TableParagraph"/>
              <w:rPr>
                <w:sz w:val="20"/>
              </w:rPr>
            </w:pPr>
            <w:r>
              <w:rPr>
                <w:sz w:val="20"/>
              </w:rPr>
              <w:t>7615.19.00</w:t>
            </w:r>
          </w:p>
        </w:tc>
        <w:tc>
          <w:tcPr>
            <w:tcW w:w="1238" w:type="dxa"/>
          </w:tcPr>
          <w:p>
            <w:pPr>
              <w:pStyle w:val="TableParagraph"/>
              <w:rPr>
                <w:sz w:val="20"/>
              </w:rPr>
            </w:pPr>
            <w:r>
              <w:rPr>
                <w:sz w:val="20"/>
              </w:rPr>
              <w:t>1105242</w:t>
            </w:r>
          </w:p>
        </w:tc>
        <w:tc>
          <w:tcPr>
            <w:tcW w:w="3021" w:type="dxa"/>
          </w:tcPr>
          <w:p>
            <w:pPr>
              <w:pStyle w:val="TableParagraph"/>
              <w:rPr>
                <w:sz w:val="20"/>
              </w:rPr>
            </w:pPr>
            <w:r>
              <w:rPr>
                <w:sz w:val="20"/>
              </w:rPr>
              <w:t>Sets, roasting, having</w:t>
            </w:r>
          </w:p>
        </w:tc>
        <w:tc>
          <w:tcPr>
            <w:tcW w:w="1640" w:type="dxa"/>
          </w:tcPr>
          <w:p>
            <w:pPr>
              <w:pStyle w:val="TableParagraph"/>
              <w:ind w:left="108"/>
              <w:rPr>
                <w:sz w:val="20"/>
              </w:rPr>
            </w:pPr>
            <w:r>
              <w:rPr>
                <w:sz w:val="20"/>
              </w:rPr>
              <w:t>7615.10.00</w:t>
            </w:r>
          </w:p>
        </w:tc>
        <w:tc>
          <w:tcPr>
            <w:tcW w:w="1250" w:type="dxa"/>
          </w:tcPr>
          <w:p>
            <w:pPr>
              <w:pStyle w:val="TableParagraph"/>
              <w:ind w:left="109"/>
              <w:rPr>
                <w:sz w:val="20"/>
              </w:rPr>
            </w:pPr>
            <w:r>
              <w:rPr>
                <w:sz w:val="20"/>
              </w:rPr>
              <w:t>1134438</w:t>
            </w:r>
          </w:p>
        </w:tc>
      </w:tr>
      <w:tr>
        <w:trPr>
          <w:trHeight w:val="230" w:hRule="atLeast"/>
        </w:trPr>
        <w:tc>
          <w:tcPr>
            <w:tcW w:w="1669" w:type="dxa"/>
          </w:tcPr>
          <w:p>
            <w:pPr>
              <w:pStyle w:val="TableParagraph"/>
              <w:rPr>
                <w:sz w:val="20"/>
              </w:rPr>
            </w:pPr>
            <w:r>
              <w:rPr>
                <w:sz w:val="20"/>
              </w:rPr>
              <w:t>8201.20.00</w:t>
            </w:r>
          </w:p>
        </w:tc>
        <w:tc>
          <w:tcPr>
            <w:tcW w:w="1238" w:type="dxa"/>
          </w:tcPr>
          <w:p>
            <w:pPr>
              <w:pStyle w:val="TableParagraph"/>
              <w:ind w:left="108"/>
              <w:rPr>
                <w:sz w:val="20"/>
              </w:rPr>
            </w:pPr>
            <w:r>
              <w:rPr>
                <w:sz w:val="20"/>
              </w:rPr>
              <w:t>9401312</w:t>
            </w:r>
          </w:p>
        </w:tc>
        <w:tc>
          <w:tcPr>
            <w:tcW w:w="3021" w:type="dxa"/>
          </w:tcPr>
          <w:p>
            <w:pPr>
              <w:pStyle w:val="TableParagraph"/>
              <w:rPr>
                <w:sz w:val="20"/>
              </w:rPr>
            </w:pPr>
            <w:r>
              <w:rPr>
                <w:sz w:val="20"/>
              </w:rPr>
              <w:t>Garden forks</w:t>
            </w:r>
          </w:p>
        </w:tc>
        <w:tc>
          <w:tcPr>
            <w:tcW w:w="1640" w:type="dxa"/>
          </w:tcPr>
          <w:p>
            <w:pPr>
              <w:pStyle w:val="TableParagraph"/>
              <w:ind w:left="109"/>
              <w:rPr>
                <w:sz w:val="20"/>
              </w:rPr>
            </w:pPr>
            <w:r>
              <w:rPr>
                <w:sz w:val="20"/>
              </w:rPr>
              <w:t>8201.90.00</w:t>
            </w:r>
          </w:p>
        </w:tc>
        <w:tc>
          <w:tcPr>
            <w:tcW w:w="1250" w:type="dxa"/>
          </w:tcPr>
          <w:p>
            <w:pPr>
              <w:pStyle w:val="TableParagraph"/>
              <w:ind w:left="110"/>
              <w:rPr>
                <w:sz w:val="20"/>
              </w:rPr>
            </w:pPr>
            <w:r>
              <w:rPr>
                <w:sz w:val="20"/>
              </w:rPr>
              <w:t>1134436</w:t>
            </w:r>
          </w:p>
        </w:tc>
      </w:tr>
      <w:tr>
        <w:trPr>
          <w:trHeight w:val="230" w:hRule="atLeast"/>
        </w:trPr>
        <w:tc>
          <w:tcPr>
            <w:tcW w:w="1669" w:type="dxa"/>
          </w:tcPr>
          <w:p>
            <w:pPr>
              <w:pStyle w:val="TableParagraph"/>
              <w:rPr>
                <w:sz w:val="20"/>
              </w:rPr>
            </w:pPr>
            <w:r>
              <w:rPr>
                <w:sz w:val="20"/>
              </w:rPr>
              <w:t>8201.20.00</w:t>
            </w:r>
          </w:p>
        </w:tc>
        <w:tc>
          <w:tcPr>
            <w:tcW w:w="1238" w:type="dxa"/>
          </w:tcPr>
          <w:p>
            <w:pPr>
              <w:pStyle w:val="TableParagraph"/>
              <w:ind w:left="108"/>
              <w:rPr>
                <w:sz w:val="20"/>
              </w:rPr>
            </w:pPr>
            <w:r>
              <w:rPr>
                <w:sz w:val="20"/>
              </w:rPr>
              <w:t>9505722</w:t>
            </w:r>
          </w:p>
        </w:tc>
        <w:tc>
          <w:tcPr>
            <w:tcW w:w="3021" w:type="dxa"/>
          </w:tcPr>
          <w:p>
            <w:pPr>
              <w:pStyle w:val="TableParagraph"/>
              <w:rPr>
                <w:sz w:val="20"/>
              </w:rPr>
            </w:pPr>
            <w:r>
              <w:rPr>
                <w:sz w:val="20"/>
              </w:rPr>
              <w:t>Golf divot repairer</w:t>
            </w:r>
          </w:p>
        </w:tc>
        <w:tc>
          <w:tcPr>
            <w:tcW w:w="1640" w:type="dxa"/>
          </w:tcPr>
          <w:p>
            <w:pPr>
              <w:pStyle w:val="TableParagraph"/>
              <w:ind w:left="108"/>
              <w:rPr>
                <w:sz w:val="20"/>
              </w:rPr>
            </w:pPr>
            <w:r>
              <w:rPr>
                <w:sz w:val="20"/>
              </w:rPr>
              <w:t>8201.90.00</w:t>
            </w:r>
          </w:p>
        </w:tc>
        <w:tc>
          <w:tcPr>
            <w:tcW w:w="1250" w:type="dxa"/>
          </w:tcPr>
          <w:p>
            <w:pPr>
              <w:pStyle w:val="TableParagraph"/>
              <w:ind w:left="109"/>
              <w:rPr>
                <w:sz w:val="20"/>
              </w:rPr>
            </w:pPr>
            <w:r>
              <w:rPr>
                <w:sz w:val="20"/>
              </w:rPr>
              <w:t>1134437</w:t>
            </w:r>
          </w:p>
        </w:tc>
      </w:tr>
      <w:tr>
        <w:trPr>
          <w:trHeight w:val="230" w:hRule="atLeast"/>
        </w:trPr>
        <w:tc>
          <w:tcPr>
            <w:tcW w:w="1669" w:type="dxa"/>
          </w:tcPr>
          <w:p>
            <w:pPr>
              <w:pStyle w:val="TableParagraph"/>
              <w:rPr>
                <w:sz w:val="20"/>
              </w:rPr>
            </w:pPr>
            <w:r>
              <w:rPr>
                <w:sz w:val="20"/>
              </w:rPr>
              <w:t>8507.80.00</w:t>
            </w:r>
          </w:p>
        </w:tc>
        <w:tc>
          <w:tcPr>
            <w:tcW w:w="1238" w:type="dxa"/>
          </w:tcPr>
          <w:p>
            <w:pPr>
              <w:pStyle w:val="TableParagraph"/>
              <w:rPr>
                <w:sz w:val="20"/>
              </w:rPr>
            </w:pPr>
            <w:r>
              <w:rPr>
                <w:sz w:val="20"/>
              </w:rPr>
              <w:t>0916169</w:t>
            </w:r>
          </w:p>
        </w:tc>
        <w:tc>
          <w:tcPr>
            <w:tcW w:w="3021" w:type="dxa"/>
          </w:tcPr>
          <w:p>
            <w:pPr>
              <w:pStyle w:val="TableParagraph"/>
              <w:rPr>
                <w:sz w:val="20"/>
              </w:rPr>
            </w:pPr>
            <w:r>
              <w:rPr>
                <w:sz w:val="20"/>
              </w:rPr>
              <w:t>Accumulator, lithium polymer</w:t>
            </w:r>
          </w:p>
        </w:tc>
        <w:tc>
          <w:tcPr>
            <w:tcW w:w="1640" w:type="dxa"/>
          </w:tcPr>
          <w:p>
            <w:pPr>
              <w:pStyle w:val="TableParagraph"/>
              <w:rPr>
                <w:sz w:val="20"/>
              </w:rPr>
            </w:pPr>
            <w:r>
              <w:rPr>
                <w:sz w:val="20"/>
              </w:rPr>
              <w:t>8507.60.00</w:t>
            </w:r>
          </w:p>
        </w:tc>
        <w:tc>
          <w:tcPr>
            <w:tcW w:w="1250" w:type="dxa"/>
          </w:tcPr>
          <w:p>
            <w:pPr>
              <w:pStyle w:val="TableParagraph"/>
              <w:rPr>
                <w:sz w:val="20"/>
              </w:rPr>
            </w:pPr>
            <w:r>
              <w:rPr>
                <w:sz w:val="20"/>
              </w:rPr>
              <w:t>1130532</w:t>
            </w:r>
          </w:p>
        </w:tc>
      </w:tr>
      <w:tr>
        <w:trPr>
          <w:trHeight w:val="230" w:hRule="atLeast"/>
        </w:trPr>
        <w:tc>
          <w:tcPr>
            <w:tcW w:w="1669" w:type="dxa"/>
          </w:tcPr>
          <w:p>
            <w:pPr>
              <w:pStyle w:val="TableParagraph"/>
              <w:rPr>
                <w:sz w:val="20"/>
              </w:rPr>
            </w:pPr>
            <w:r>
              <w:rPr>
                <w:sz w:val="20"/>
              </w:rPr>
              <w:t>8507.80.00</w:t>
            </w:r>
          </w:p>
        </w:tc>
        <w:tc>
          <w:tcPr>
            <w:tcW w:w="1238" w:type="dxa"/>
          </w:tcPr>
          <w:p>
            <w:pPr>
              <w:pStyle w:val="TableParagraph"/>
              <w:ind w:left="108"/>
              <w:rPr>
                <w:sz w:val="20"/>
              </w:rPr>
            </w:pPr>
            <w:r>
              <w:rPr>
                <w:sz w:val="20"/>
              </w:rPr>
              <w:t>0515321</w:t>
            </w:r>
          </w:p>
        </w:tc>
        <w:tc>
          <w:tcPr>
            <w:tcW w:w="3021" w:type="dxa"/>
          </w:tcPr>
          <w:p>
            <w:pPr>
              <w:pStyle w:val="TableParagraph"/>
              <w:ind w:left="108"/>
              <w:rPr>
                <w:sz w:val="20"/>
              </w:rPr>
            </w:pPr>
            <w:r>
              <w:rPr>
                <w:sz w:val="20"/>
              </w:rPr>
              <w:t>Accumulator lithium-ion</w:t>
            </w:r>
          </w:p>
        </w:tc>
        <w:tc>
          <w:tcPr>
            <w:tcW w:w="1640" w:type="dxa"/>
          </w:tcPr>
          <w:p>
            <w:pPr>
              <w:pStyle w:val="TableParagraph"/>
              <w:ind w:left="109"/>
              <w:rPr>
                <w:sz w:val="20"/>
              </w:rPr>
            </w:pPr>
            <w:r>
              <w:rPr>
                <w:sz w:val="20"/>
              </w:rPr>
              <w:t>8507.60.00</w:t>
            </w:r>
          </w:p>
        </w:tc>
        <w:tc>
          <w:tcPr>
            <w:tcW w:w="1250" w:type="dxa"/>
          </w:tcPr>
          <w:p>
            <w:pPr>
              <w:pStyle w:val="TableParagraph"/>
              <w:ind w:left="109"/>
              <w:rPr>
                <w:sz w:val="20"/>
              </w:rPr>
            </w:pPr>
            <w:r>
              <w:rPr>
                <w:sz w:val="20"/>
              </w:rPr>
              <w:t>1130471</w:t>
            </w:r>
          </w:p>
        </w:tc>
      </w:tr>
      <w:tr>
        <w:trPr>
          <w:trHeight w:val="230" w:hRule="atLeast"/>
        </w:trPr>
        <w:tc>
          <w:tcPr>
            <w:tcW w:w="1669" w:type="dxa"/>
          </w:tcPr>
          <w:p>
            <w:pPr>
              <w:pStyle w:val="TableParagraph"/>
              <w:rPr>
                <w:sz w:val="20"/>
              </w:rPr>
            </w:pPr>
            <w:r>
              <w:rPr>
                <w:sz w:val="20"/>
              </w:rPr>
              <w:t>8507.80.00</w:t>
            </w:r>
          </w:p>
        </w:tc>
        <w:tc>
          <w:tcPr>
            <w:tcW w:w="1238" w:type="dxa"/>
          </w:tcPr>
          <w:p>
            <w:pPr>
              <w:pStyle w:val="TableParagraph"/>
              <w:ind w:left="108"/>
              <w:rPr>
                <w:sz w:val="20"/>
              </w:rPr>
            </w:pPr>
            <w:r>
              <w:rPr>
                <w:sz w:val="20"/>
              </w:rPr>
              <w:t>0613933</w:t>
            </w:r>
          </w:p>
        </w:tc>
        <w:tc>
          <w:tcPr>
            <w:tcW w:w="3021" w:type="dxa"/>
          </w:tcPr>
          <w:p>
            <w:pPr>
              <w:pStyle w:val="TableParagraph"/>
              <w:ind w:left="108"/>
              <w:rPr>
                <w:sz w:val="20"/>
              </w:rPr>
            </w:pPr>
            <w:r>
              <w:rPr>
                <w:sz w:val="20"/>
              </w:rPr>
              <w:t>Accumulator lithium-ion</w:t>
            </w:r>
          </w:p>
        </w:tc>
        <w:tc>
          <w:tcPr>
            <w:tcW w:w="1640" w:type="dxa"/>
          </w:tcPr>
          <w:p>
            <w:pPr>
              <w:pStyle w:val="TableParagraph"/>
              <w:ind w:left="109"/>
              <w:rPr>
                <w:sz w:val="20"/>
              </w:rPr>
            </w:pPr>
            <w:r>
              <w:rPr>
                <w:sz w:val="20"/>
              </w:rPr>
              <w:t>8507.60.00</w:t>
            </w:r>
          </w:p>
        </w:tc>
        <w:tc>
          <w:tcPr>
            <w:tcW w:w="1250" w:type="dxa"/>
          </w:tcPr>
          <w:p>
            <w:pPr>
              <w:pStyle w:val="TableParagraph"/>
              <w:ind w:left="109"/>
              <w:rPr>
                <w:sz w:val="20"/>
              </w:rPr>
            </w:pPr>
            <w:r>
              <w:rPr>
                <w:sz w:val="20"/>
              </w:rPr>
              <w:t>1130471</w:t>
            </w:r>
          </w:p>
        </w:tc>
      </w:tr>
      <w:tr>
        <w:trPr>
          <w:trHeight w:val="460" w:hRule="atLeast"/>
        </w:trPr>
        <w:tc>
          <w:tcPr>
            <w:tcW w:w="1669" w:type="dxa"/>
          </w:tcPr>
          <w:p>
            <w:pPr>
              <w:pStyle w:val="TableParagraph"/>
              <w:spacing w:line="240" w:lineRule="auto"/>
              <w:ind w:left="0"/>
              <w:rPr>
                <w:rFonts w:ascii="Times New Roman"/>
                <w:sz w:val="20"/>
              </w:rPr>
            </w:pPr>
          </w:p>
        </w:tc>
        <w:tc>
          <w:tcPr>
            <w:tcW w:w="1238" w:type="dxa"/>
          </w:tcPr>
          <w:p>
            <w:pPr>
              <w:pStyle w:val="TableParagraph"/>
              <w:spacing w:line="240" w:lineRule="auto"/>
              <w:ind w:left="0"/>
              <w:rPr>
                <w:rFonts w:ascii="Times New Roman"/>
                <w:sz w:val="20"/>
              </w:rPr>
            </w:pPr>
          </w:p>
        </w:tc>
        <w:tc>
          <w:tcPr>
            <w:tcW w:w="3021" w:type="dxa"/>
          </w:tcPr>
          <w:p>
            <w:pPr>
              <w:pStyle w:val="TableParagraph"/>
              <w:spacing w:line="230" w:lineRule="exact"/>
              <w:ind w:left="108" w:right="659"/>
              <w:rPr>
                <w:sz w:val="20"/>
              </w:rPr>
            </w:pPr>
            <w:r>
              <w:rPr>
                <w:sz w:val="20"/>
              </w:rPr>
              <w:t>Accumulator nickel metal hydride</w:t>
            </w:r>
          </w:p>
        </w:tc>
        <w:tc>
          <w:tcPr>
            <w:tcW w:w="1640" w:type="dxa"/>
          </w:tcPr>
          <w:p>
            <w:pPr>
              <w:pStyle w:val="TableParagraph"/>
              <w:spacing w:line="227" w:lineRule="exact"/>
              <w:ind w:left="109"/>
              <w:rPr>
                <w:sz w:val="20"/>
              </w:rPr>
            </w:pPr>
            <w:r>
              <w:rPr>
                <w:sz w:val="20"/>
              </w:rPr>
              <w:t>8507.50.00</w:t>
            </w:r>
          </w:p>
        </w:tc>
        <w:tc>
          <w:tcPr>
            <w:tcW w:w="1250" w:type="dxa"/>
          </w:tcPr>
          <w:p>
            <w:pPr>
              <w:pStyle w:val="TableParagraph"/>
              <w:spacing w:line="227" w:lineRule="exact"/>
              <w:ind w:left="109"/>
              <w:rPr>
                <w:sz w:val="20"/>
              </w:rPr>
            </w:pPr>
            <w:r>
              <w:rPr>
                <w:sz w:val="20"/>
              </w:rPr>
              <w:t>1130464</w:t>
            </w:r>
          </w:p>
        </w:tc>
      </w:tr>
      <w:tr>
        <w:trPr>
          <w:trHeight w:val="459" w:hRule="atLeast"/>
        </w:trPr>
        <w:tc>
          <w:tcPr>
            <w:tcW w:w="1669" w:type="dxa"/>
          </w:tcPr>
          <w:p>
            <w:pPr>
              <w:pStyle w:val="TableParagraph"/>
              <w:spacing w:line="227" w:lineRule="exact"/>
              <w:rPr>
                <w:sz w:val="20"/>
              </w:rPr>
            </w:pPr>
            <w:r>
              <w:rPr>
                <w:sz w:val="20"/>
              </w:rPr>
              <w:t>8507.80.00</w:t>
            </w:r>
          </w:p>
        </w:tc>
        <w:tc>
          <w:tcPr>
            <w:tcW w:w="1238" w:type="dxa"/>
          </w:tcPr>
          <w:p>
            <w:pPr>
              <w:pStyle w:val="TableParagraph"/>
              <w:spacing w:line="227" w:lineRule="exact"/>
              <w:rPr>
                <w:sz w:val="20"/>
              </w:rPr>
            </w:pPr>
            <w:r>
              <w:rPr>
                <w:sz w:val="20"/>
              </w:rPr>
              <w:t>9404372</w:t>
            </w:r>
          </w:p>
        </w:tc>
        <w:tc>
          <w:tcPr>
            <w:tcW w:w="3021" w:type="dxa"/>
          </w:tcPr>
          <w:p>
            <w:pPr>
              <w:pStyle w:val="TableParagraph"/>
              <w:spacing w:line="230" w:lineRule="exact"/>
              <w:ind w:left="108" w:right="383" w:hanging="2"/>
              <w:rPr>
                <w:sz w:val="20"/>
              </w:rPr>
            </w:pPr>
            <w:r>
              <w:rPr>
                <w:sz w:val="20"/>
              </w:rPr>
              <w:t>Accumulator/batteries nickel metal hydride</w:t>
            </w:r>
          </w:p>
        </w:tc>
        <w:tc>
          <w:tcPr>
            <w:tcW w:w="1640" w:type="dxa"/>
          </w:tcPr>
          <w:p>
            <w:pPr>
              <w:pStyle w:val="TableParagraph"/>
              <w:spacing w:line="227" w:lineRule="exact"/>
              <w:ind w:left="109"/>
              <w:rPr>
                <w:sz w:val="20"/>
              </w:rPr>
            </w:pPr>
            <w:r>
              <w:rPr>
                <w:sz w:val="20"/>
              </w:rPr>
              <w:t>8507.50.00</w:t>
            </w:r>
          </w:p>
        </w:tc>
        <w:tc>
          <w:tcPr>
            <w:tcW w:w="1250" w:type="dxa"/>
          </w:tcPr>
          <w:p>
            <w:pPr>
              <w:pStyle w:val="TableParagraph"/>
              <w:spacing w:line="227" w:lineRule="exact"/>
              <w:ind w:left="109"/>
              <w:rPr>
                <w:sz w:val="20"/>
              </w:rPr>
            </w:pPr>
            <w:r>
              <w:rPr>
                <w:sz w:val="20"/>
              </w:rPr>
              <w:t>1130464</w:t>
            </w:r>
          </w:p>
        </w:tc>
      </w:tr>
      <w:tr>
        <w:trPr>
          <w:trHeight w:val="229" w:hRule="atLeast"/>
        </w:trPr>
        <w:tc>
          <w:tcPr>
            <w:tcW w:w="1669" w:type="dxa"/>
          </w:tcPr>
          <w:p>
            <w:pPr>
              <w:pStyle w:val="TableParagraph"/>
              <w:spacing w:line="209" w:lineRule="exact"/>
              <w:rPr>
                <w:sz w:val="20"/>
              </w:rPr>
            </w:pPr>
            <w:r>
              <w:rPr>
                <w:sz w:val="20"/>
              </w:rPr>
              <w:t>8507.80.00</w:t>
            </w:r>
          </w:p>
        </w:tc>
        <w:tc>
          <w:tcPr>
            <w:tcW w:w="1238" w:type="dxa"/>
          </w:tcPr>
          <w:p>
            <w:pPr>
              <w:pStyle w:val="TableParagraph"/>
              <w:spacing w:line="209" w:lineRule="exact"/>
              <w:ind w:left="108"/>
              <w:rPr>
                <w:sz w:val="20"/>
              </w:rPr>
            </w:pPr>
            <w:r>
              <w:rPr>
                <w:sz w:val="20"/>
              </w:rPr>
              <w:t>9407857</w:t>
            </w:r>
          </w:p>
        </w:tc>
        <w:tc>
          <w:tcPr>
            <w:tcW w:w="3021" w:type="dxa"/>
          </w:tcPr>
          <w:p>
            <w:pPr>
              <w:pStyle w:val="TableParagraph"/>
              <w:spacing w:line="209" w:lineRule="exact"/>
              <w:ind w:left="108"/>
              <w:rPr>
                <w:sz w:val="20"/>
              </w:rPr>
            </w:pPr>
            <w:r>
              <w:rPr>
                <w:sz w:val="20"/>
              </w:rPr>
              <w:t>Accumulators lithium-ion</w:t>
            </w:r>
          </w:p>
        </w:tc>
        <w:tc>
          <w:tcPr>
            <w:tcW w:w="1640" w:type="dxa"/>
          </w:tcPr>
          <w:p>
            <w:pPr>
              <w:pStyle w:val="TableParagraph"/>
              <w:spacing w:line="209" w:lineRule="exact"/>
              <w:ind w:left="109"/>
              <w:rPr>
                <w:sz w:val="20"/>
              </w:rPr>
            </w:pPr>
            <w:r>
              <w:rPr>
                <w:sz w:val="20"/>
              </w:rPr>
              <w:t>8507.60.00</w:t>
            </w:r>
          </w:p>
        </w:tc>
        <w:tc>
          <w:tcPr>
            <w:tcW w:w="1250" w:type="dxa"/>
          </w:tcPr>
          <w:p>
            <w:pPr>
              <w:pStyle w:val="TableParagraph"/>
              <w:spacing w:line="209" w:lineRule="exact"/>
              <w:ind w:left="109"/>
              <w:rPr>
                <w:sz w:val="20"/>
              </w:rPr>
            </w:pPr>
            <w:r>
              <w:rPr>
                <w:sz w:val="20"/>
              </w:rPr>
              <w:t>1130471</w:t>
            </w:r>
          </w:p>
        </w:tc>
      </w:tr>
      <w:tr>
        <w:trPr>
          <w:trHeight w:val="460" w:hRule="atLeast"/>
        </w:trPr>
        <w:tc>
          <w:tcPr>
            <w:tcW w:w="1669" w:type="dxa"/>
          </w:tcPr>
          <w:p>
            <w:pPr>
              <w:pStyle w:val="TableParagraph"/>
              <w:spacing w:line="227" w:lineRule="exact"/>
              <w:rPr>
                <w:sz w:val="20"/>
              </w:rPr>
            </w:pPr>
            <w:r>
              <w:rPr>
                <w:sz w:val="20"/>
              </w:rPr>
              <w:t>8507.80.00</w:t>
            </w:r>
          </w:p>
        </w:tc>
        <w:tc>
          <w:tcPr>
            <w:tcW w:w="1238" w:type="dxa"/>
          </w:tcPr>
          <w:p>
            <w:pPr>
              <w:pStyle w:val="TableParagraph"/>
              <w:spacing w:line="227" w:lineRule="exact"/>
              <w:ind w:left="108"/>
              <w:rPr>
                <w:sz w:val="20"/>
              </w:rPr>
            </w:pPr>
            <w:r>
              <w:rPr>
                <w:sz w:val="20"/>
              </w:rPr>
              <w:t>9509113</w:t>
            </w:r>
          </w:p>
        </w:tc>
        <w:tc>
          <w:tcPr>
            <w:tcW w:w="3021" w:type="dxa"/>
          </w:tcPr>
          <w:p>
            <w:pPr>
              <w:pStyle w:val="TableParagraph"/>
              <w:spacing w:line="230" w:lineRule="exact"/>
              <w:ind w:left="108" w:right="449" w:hanging="1"/>
              <w:rPr>
                <w:sz w:val="20"/>
              </w:rPr>
            </w:pPr>
            <w:r>
              <w:rPr>
                <w:sz w:val="20"/>
              </w:rPr>
              <w:t>Accumulators rechargeable nickel metal hydride</w:t>
            </w:r>
          </w:p>
        </w:tc>
        <w:tc>
          <w:tcPr>
            <w:tcW w:w="1640" w:type="dxa"/>
          </w:tcPr>
          <w:p>
            <w:pPr>
              <w:pStyle w:val="TableParagraph"/>
              <w:spacing w:line="227" w:lineRule="exact"/>
              <w:ind w:left="109"/>
              <w:rPr>
                <w:sz w:val="20"/>
              </w:rPr>
            </w:pPr>
            <w:r>
              <w:rPr>
                <w:sz w:val="20"/>
              </w:rPr>
              <w:t>8507.50.00</w:t>
            </w:r>
          </w:p>
        </w:tc>
        <w:tc>
          <w:tcPr>
            <w:tcW w:w="1250" w:type="dxa"/>
          </w:tcPr>
          <w:p>
            <w:pPr>
              <w:pStyle w:val="TableParagraph"/>
              <w:spacing w:line="227" w:lineRule="exact"/>
              <w:ind w:left="109"/>
              <w:rPr>
                <w:sz w:val="20"/>
              </w:rPr>
            </w:pPr>
            <w:r>
              <w:rPr>
                <w:sz w:val="20"/>
              </w:rPr>
              <w:t>1130464</w:t>
            </w:r>
          </w:p>
        </w:tc>
      </w:tr>
    </w:tbl>
    <w:p>
      <w:pPr>
        <w:spacing w:after="0" w:line="227" w:lineRule="exact"/>
        <w:rPr>
          <w:sz w:val="20"/>
        </w:rPr>
        <w:sectPr>
          <w:headerReference w:type="default" r:id="rId10"/>
          <w:pgSz w:w="11910" w:h="16840"/>
          <w:pgMar w:header="571" w:footer="0" w:top="780" w:bottom="280" w:left="160" w:right="180"/>
        </w:sectPr>
      </w:pPr>
    </w:p>
    <w:p>
      <w:pPr>
        <w:pStyle w:val="BodyText"/>
      </w:pPr>
    </w:p>
    <w:p>
      <w:pPr>
        <w:pStyle w:val="BodyText"/>
        <w:spacing w:before="6"/>
        <w:rPr>
          <w:sz w:val="29"/>
        </w:rPr>
      </w:pPr>
    </w:p>
    <w:tbl>
      <w:tblPr>
        <w:tblW w:w="0" w:type="auto"/>
        <w:jc w:val="lef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543"/>
        <w:gridCol w:w="2991"/>
        <w:gridCol w:w="1517"/>
        <w:gridCol w:w="1429"/>
      </w:tblGrid>
      <w:tr>
        <w:trPr>
          <w:trHeight w:val="459" w:hRule="atLeast"/>
        </w:trPr>
        <w:tc>
          <w:tcPr>
            <w:tcW w:w="8997" w:type="dxa"/>
            <w:gridSpan w:val="5"/>
            <w:shd w:val="clear" w:color="auto" w:fill="E6E6E6"/>
          </w:tcPr>
          <w:p>
            <w:pPr>
              <w:pStyle w:val="TableParagraph"/>
              <w:spacing w:line="228" w:lineRule="exact"/>
              <w:ind w:left="702"/>
              <w:rPr>
                <w:b/>
                <w:sz w:val="20"/>
              </w:rPr>
            </w:pPr>
            <w:r>
              <w:rPr>
                <w:b/>
                <w:sz w:val="20"/>
              </w:rPr>
              <w:t>HS 2012 TCO CONCORDANCE – TCOs revoked and replaced for 1 January 2012</w:t>
            </w:r>
          </w:p>
        </w:tc>
      </w:tr>
      <w:tr>
        <w:trPr>
          <w:trHeight w:val="460" w:hRule="atLeast"/>
        </w:trPr>
        <w:tc>
          <w:tcPr>
            <w:tcW w:w="1517" w:type="dxa"/>
            <w:shd w:val="clear" w:color="auto" w:fill="F3F3F3"/>
          </w:tcPr>
          <w:p>
            <w:pPr>
              <w:pStyle w:val="TableParagraph"/>
              <w:spacing w:line="230" w:lineRule="exact" w:before="1"/>
              <w:ind w:right="79" w:firstLine="288"/>
              <w:rPr>
                <w:b/>
                <w:sz w:val="20"/>
              </w:rPr>
            </w:pPr>
            <w:r>
              <w:rPr>
                <w:b/>
                <w:sz w:val="20"/>
              </w:rPr>
              <w:t>Current Classification</w:t>
            </w:r>
          </w:p>
        </w:tc>
        <w:tc>
          <w:tcPr>
            <w:tcW w:w="1543" w:type="dxa"/>
            <w:shd w:val="clear" w:color="auto" w:fill="F3F3F3"/>
          </w:tcPr>
          <w:p>
            <w:pPr>
              <w:pStyle w:val="TableParagraph"/>
              <w:spacing w:line="230" w:lineRule="exact" w:before="1"/>
              <w:ind w:left="609" w:right="142" w:hanging="438"/>
              <w:rPr>
                <w:b/>
                <w:sz w:val="20"/>
              </w:rPr>
            </w:pPr>
            <w:r>
              <w:rPr>
                <w:b/>
                <w:sz w:val="20"/>
              </w:rPr>
              <w:t>Current TCO No.</w:t>
            </w:r>
          </w:p>
        </w:tc>
        <w:tc>
          <w:tcPr>
            <w:tcW w:w="2991" w:type="dxa"/>
            <w:shd w:val="clear" w:color="auto" w:fill="F3F3F3"/>
          </w:tcPr>
          <w:p>
            <w:pPr>
              <w:pStyle w:val="TableParagraph"/>
              <w:spacing w:line="228" w:lineRule="exact"/>
              <w:ind w:left="688"/>
              <w:rPr>
                <w:b/>
                <w:sz w:val="20"/>
              </w:rPr>
            </w:pPr>
            <w:r>
              <w:rPr>
                <w:b/>
                <w:sz w:val="20"/>
              </w:rPr>
              <w:t>Brief Description</w:t>
            </w:r>
          </w:p>
        </w:tc>
        <w:tc>
          <w:tcPr>
            <w:tcW w:w="1517" w:type="dxa"/>
            <w:shd w:val="clear" w:color="auto" w:fill="F3F3F3"/>
          </w:tcPr>
          <w:p>
            <w:pPr>
              <w:pStyle w:val="TableParagraph"/>
              <w:spacing w:line="230" w:lineRule="exact" w:before="1"/>
              <w:ind w:left="108" w:right="78" w:firstLine="442"/>
              <w:rPr>
                <w:b/>
                <w:sz w:val="20"/>
              </w:rPr>
            </w:pPr>
            <w:r>
              <w:rPr>
                <w:b/>
                <w:sz w:val="20"/>
              </w:rPr>
              <w:t>New Classification</w:t>
            </w:r>
          </w:p>
        </w:tc>
        <w:tc>
          <w:tcPr>
            <w:tcW w:w="1429" w:type="dxa"/>
            <w:shd w:val="clear" w:color="auto" w:fill="F3F3F3"/>
          </w:tcPr>
          <w:p>
            <w:pPr>
              <w:pStyle w:val="TableParagraph"/>
              <w:spacing w:line="230" w:lineRule="exact" w:before="1"/>
              <w:ind w:left="555" w:right="240" w:hanging="285"/>
              <w:rPr>
                <w:b/>
                <w:sz w:val="20"/>
              </w:rPr>
            </w:pPr>
            <w:r>
              <w:rPr>
                <w:b/>
                <w:sz w:val="20"/>
              </w:rPr>
              <w:t>New TCO No.</w:t>
            </w:r>
          </w:p>
        </w:tc>
      </w:tr>
      <w:tr>
        <w:trPr>
          <w:trHeight w:val="459" w:hRule="atLeast"/>
        </w:trPr>
        <w:tc>
          <w:tcPr>
            <w:tcW w:w="1517" w:type="dxa"/>
          </w:tcPr>
          <w:p>
            <w:pPr>
              <w:pStyle w:val="TableParagraph"/>
              <w:spacing w:line="226" w:lineRule="exact"/>
              <w:rPr>
                <w:sz w:val="20"/>
              </w:rPr>
            </w:pPr>
            <w:r>
              <w:rPr>
                <w:sz w:val="20"/>
              </w:rPr>
              <w:t>8507.80.00</w:t>
            </w:r>
          </w:p>
        </w:tc>
        <w:tc>
          <w:tcPr>
            <w:tcW w:w="1543" w:type="dxa"/>
          </w:tcPr>
          <w:p>
            <w:pPr>
              <w:pStyle w:val="TableParagraph"/>
              <w:spacing w:line="226" w:lineRule="exact"/>
              <w:rPr>
                <w:sz w:val="20"/>
              </w:rPr>
            </w:pPr>
            <w:r>
              <w:rPr>
                <w:sz w:val="20"/>
              </w:rPr>
              <w:t>9509201</w:t>
            </w:r>
          </w:p>
        </w:tc>
        <w:tc>
          <w:tcPr>
            <w:tcW w:w="2991" w:type="dxa"/>
          </w:tcPr>
          <w:p>
            <w:pPr>
              <w:pStyle w:val="TableParagraph"/>
              <w:spacing w:line="226" w:lineRule="exact"/>
              <w:ind w:left="106"/>
              <w:rPr>
                <w:sz w:val="20"/>
              </w:rPr>
            </w:pPr>
            <w:r>
              <w:rPr>
                <w:sz w:val="20"/>
              </w:rPr>
              <w:t>Accumulators mobile phone</w:t>
            </w:r>
          </w:p>
          <w:p>
            <w:pPr>
              <w:pStyle w:val="TableParagraph"/>
              <w:spacing w:line="213" w:lineRule="exact"/>
              <w:rPr>
                <w:sz w:val="20"/>
              </w:rPr>
            </w:pPr>
            <w:r>
              <w:rPr>
                <w:sz w:val="20"/>
              </w:rPr>
              <w:t>cellular NMH</w:t>
            </w:r>
          </w:p>
        </w:tc>
        <w:tc>
          <w:tcPr>
            <w:tcW w:w="1517" w:type="dxa"/>
          </w:tcPr>
          <w:p>
            <w:pPr>
              <w:pStyle w:val="TableParagraph"/>
              <w:spacing w:line="226" w:lineRule="exact"/>
              <w:ind w:left="108"/>
              <w:rPr>
                <w:sz w:val="20"/>
              </w:rPr>
            </w:pPr>
            <w:r>
              <w:rPr>
                <w:sz w:val="20"/>
              </w:rPr>
              <w:t>8507.50.00</w:t>
            </w:r>
          </w:p>
        </w:tc>
        <w:tc>
          <w:tcPr>
            <w:tcW w:w="1429" w:type="dxa"/>
          </w:tcPr>
          <w:p>
            <w:pPr>
              <w:pStyle w:val="TableParagraph"/>
              <w:spacing w:line="226" w:lineRule="exact"/>
              <w:ind w:left="109"/>
              <w:rPr>
                <w:sz w:val="20"/>
              </w:rPr>
            </w:pPr>
            <w:r>
              <w:rPr>
                <w:sz w:val="20"/>
              </w:rPr>
              <w:t>1130464</w:t>
            </w:r>
          </w:p>
        </w:tc>
      </w:tr>
      <w:tr>
        <w:trPr>
          <w:trHeight w:val="459" w:hRule="atLeast"/>
        </w:trPr>
        <w:tc>
          <w:tcPr>
            <w:tcW w:w="1517" w:type="dxa"/>
          </w:tcPr>
          <w:p>
            <w:pPr>
              <w:pStyle w:val="TableParagraph"/>
              <w:spacing w:line="227" w:lineRule="exact"/>
              <w:rPr>
                <w:sz w:val="20"/>
              </w:rPr>
            </w:pPr>
            <w:r>
              <w:rPr>
                <w:sz w:val="20"/>
              </w:rPr>
              <w:t>8507.80.00</w:t>
            </w:r>
          </w:p>
        </w:tc>
        <w:tc>
          <w:tcPr>
            <w:tcW w:w="1543" w:type="dxa"/>
          </w:tcPr>
          <w:p>
            <w:pPr>
              <w:pStyle w:val="TableParagraph"/>
              <w:spacing w:line="227" w:lineRule="exact"/>
              <w:rPr>
                <w:sz w:val="20"/>
              </w:rPr>
            </w:pPr>
            <w:r>
              <w:rPr>
                <w:sz w:val="20"/>
              </w:rPr>
              <w:t>9511625</w:t>
            </w:r>
          </w:p>
        </w:tc>
        <w:tc>
          <w:tcPr>
            <w:tcW w:w="2991" w:type="dxa"/>
          </w:tcPr>
          <w:p>
            <w:pPr>
              <w:pStyle w:val="TableParagraph"/>
              <w:spacing w:line="230" w:lineRule="exact"/>
              <w:ind w:right="265" w:hanging="2"/>
              <w:rPr>
                <w:sz w:val="20"/>
              </w:rPr>
            </w:pPr>
            <w:r>
              <w:rPr>
                <w:sz w:val="20"/>
              </w:rPr>
              <w:t>Accumulator Battery –lithium ion</w:t>
            </w:r>
          </w:p>
        </w:tc>
        <w:tc>
          <w:tcPr>
            <w:tcW w:w="1517" w:type="dxa"/>
          </w:tcPr>
          <w:p>
            <w:pPr>
              <w:pStyle w:val="TableParagraph"/>
              <w:spacing w:line="227" w:lineRule="exact"/>
              <w:ind w:left="108"/>
              <w:rPr>
                <w:sz w:val="20"/>
              </w:rPr>
            </w:pPr>
            <w:r>
              <w:rPr>
                <w:sz w:val="20"/>
              </w:rPr>
              <w:t>8507.60.00</w:t>
            </w:r>
          </w:p>
        </w:tc>
        <w:tc>
          <w:tcPr>
            <w:tcW w:w="1429" w:type="dxa"/>
          </w:tcPr>
          <w:p>
            <w:pPr>
              <w:pStyle w:val="TableParagraph"/>
              <w:spacing w:line="227" w:lineRule="exact"/>
              <w:ind w:left="109"/>
              <w:rPr>
                <w:sz w:val="20"/>
              </w:rPr>
            </w:pPr>
            <w:r>
              <w:rPr>
                <w:sz w:val="20"/>
              </w:rPr>
              <w:t>1130471</w:t>
            </w:r>
          </w:p>
        </w:tc>
      </w:tr>
      <w:tr>
        <w:trPr>
          <w:trHeight w:val="229" w:hRule="atLeast"/>
        </w:trPr>
        <w:tc>
          <w:tcPr>
            <w:tcW w:w="1517" w:type="dxa"/>
          </w:tcPr>
          <w:p>
            <w:pPr>
              <w:pStyle w:val="TableParagraph"/>
              <w:spacing w:line="209" w:lineRule="exact"/>
              <w:rPr>
                <w:sz w:val="20"/>
              </w:rPr>
            </w:pPr>
            <w:r>
              <w:rPr>
                <w:sz w:val="20"/>
              </w:rPr>
              <w:t>8507.80.00</w:t>
            </w:r>
          </w:p>
        </w:tc>
        <w:tc>
          <w:tcPr>
            <w:tcW w:w="1543" w:type="dxa"/>
          </w:tcPr>
          <w:p>
            <w:pPr>
              <w:pStyle w:val="TableParagraph"/>
              <w:spacing w:line="209" w:lineRule="exact"/>
              <w:ind w:left="108"/>
              <w:rPr>
                <w:sz w:val="20"/>
              </w:rPr>
            </w:pPr>
            <w:r>
              <w:rPr>
                <w:sz w:val="20"/>
              </w:rPr>
              <w:t>9604768</w:t>
            </w:r>
          </w:p>
        </w:tc>
        <w:tc>
          <w:tcPr>
            <w:tcW w:w="2991" w:type="dxa"/>
          </w:tcPr>
          <w:p>
            <w:pPr>
              <w:pStyle w:val="TableParagraph"/>
              <w:spacing w:line="209" w:lineRule="exact"/>
              <w:ind w:left="108"/>
              <w:rPr>
                <w:sz w:val="20"/>
              </w:rPr>
            </w:pPr>
            <w:r>
              <w:rPr>
                <w:sz w:val="20"/>
              </w:rPr>
              <w:t>Cells rechargeable NMH</w:t>
            </w:r>
          </w:p>
        </w:tc>
        <w:tc>
          <w:tcPr>
            <w:tcW w:w="1517" w:type="dxa"/>
          </w:tcPr>
          <w:p>
            <w:pPr>
              <w:pStyle w:val="TableParagraph"/>
              <w:spacing w:line="209" w:lineRule="exact"/>
              <w:rPr>
                <w:sz w:val="20"/>
              </w:rPr>
            </w:pPr>
            <w:r>
              <w:rPr>
                <w:sz w:val="20"/>
              </w:rPr>
              <w:t>8507.50.00</w:t>
            </w:r>
          </w:p>
        </w:tc>
        <w:tc>
          <w:tcPr>
            <w:tcW w:w="1429" w:type="dxa"/>
          </w:tcPr>
          <w:p>
            <w:pPr>
              <w:pStyle w:val="TableParagraph"/>
              <w:spacing w:line="209" w:lineRule="exact"/>
              <w:ind w:left="109"/>
              <w:rPr>
                <w:sz w:val="20"/>
              </w:rPr>
            </w:pPr>
            <w:r>
              <w:rPr>
                <w:sz w:val="20"/>
              </w:rPr>
              <w:t>1130464</w:t>
            </w:r>
          </w:p>
        </w:tc>
      </w:tr>
      <w:tr>
        <w:trPr>
          <w:trHeight w:val="230" w:hRule="atLeast"/>
        </w:trPr>
        <w:tc>
          <w:tcPr>
            <w:tcW w:w="1517" w:type="dxa"/>
          </w:tcPr>
          <w:p>
            <w:pPr>
              <w:pStyle w:val="TableParagraph"/>
              <w:rPr>
                <w:sz w:val="20"/>
              </w:rPr>
            </w:pPr>
            <w:r>
              <w:rPr>
                <w:sz w:val="20"/>
              </w:rPr>
              <w:t>8507.80.00</w:t>
            </w:r>
          </w:p>
        </w:tc>
        <w:tc>
          <w:tcPr>
            <w:tcW w:w="1543" w:type="dxa"/>
          </w:tcPr>
          <w:p>
            <w:pPr>
              <w:pStyle w:val="TableParagraph"/>
              <w:rPr>
                <w:sz w:val="20"/>
              </w:rPr>
            </w:pPr>
            <w:r>
              <w:rPr>
                <w:sz w:val="20"/>
              </w:rPr>
              <w:t>9810314</w:t>
            </w:r>
          </w:p>
        </w:tc>
        <w:tc>
          <w:tcPr>
            <w:tcW w:w="2991" w:type="dxa"/>
          </w:tcPr>
          <w:p>
            <w:pPr>
              <w:pStyle w:val="TableParagraph"/>
              <w:rPr>
                <w:sz w:val="20"/>
              </w:rPr>
            </w:pPr>
            <w:r>
              <w:rPr>
                <w:sz w:val="20"/>
              </w:rPr>
              <w:t>Accumulators lithium - ion</w:t>
            </w:r>
          </w:p>
        </w:tc>
        <w:tc>
          <w:tcPr>
            <w:tcW w:w="1517" w:type="dxa"/>
          </w:tcPr>
          <w:p>
            <w:pPr>
              <w:pStyle w:val="TableParagraph"/>
              <w:ind w:left="108"/>
              <w:rPr>
                <w:sz w:val="20"/>
              </w:rPr>
            </w:pPr>
            <w:r>
              <w:rPr>
                <w:sz w:val="20"/>
              </w:rPr>
              <w:t>8507.60.00</w:t>
            </w:r>
          </w:p>
        </w:tc>
        <w:tc>
          <w:tcPr>
            <w:tcW w:w="1429" w:type="dxa"/>
          </w:tcPr>
          <w:p>
            <w:pPr>
              <w:pStyle w:val="TableParagraph"/>
              <w:ind w:left="109"/>
              <w:rPr>
                <w:sz w:val="20"/>
              </w:rPr>
            </w:pPr>
            <w:r>
              <w:rPr>
                <w:sz w:val="20"/>
              </w:rPr>
              <w:t>1130471</w:t>
            </w:r>
          </w:p>
        </w:tc>
      </w:tr>
      <w:tr>
        <w:trPr>
          <w:trHeight w:val="460" w:hRule="atLeast"/>
        </w:trPr>
        <w:tc>
          <w:tcPr>
            <w:tcW w:w="1517" w:type="dxa"/>
          </w:tcPr>
          <w:p>
            <w:pPr>
              <w:pStyle w:val="TableParagraph"/>
              <w:spacing w:line="227" w:lineRule="exact"/>
              <w:rPr>
                <w:sz w:val="20"/>
              </w:rPr>
            </w:pPr>
            <w:r>
              <w:rPr>
                <w:sz w:val="20"/>
              </w:rPr>
              <w:t>8507.80.00</w:t>
            </w:r>
          </w:p>
        </w:tc>
        <w:tc>
          <w:tcPr>
            <w:tcW w:w="1543" w:type="dxa"/>
          </w:tcPr>
          <w:p>
            <w:pPr>
              <w:pStyle w:val="TableParagraph"/>
              <w:spacing w:line="227" w:lineRule="exact"/>
              <w:rPr>
                <w:sz w:val="20"/>
              </w:rPr>
            </w:pPr>
            <w:r>
              <w:rPr>
                <w:sz w:val="20"/>
              </w:rPr>
              <w:t>9910038</w:t>
            </w:r>
          </w:p>
        </w:tc>
        <w:tc>
          <w:tcPr>
            <w:tcW w:w="2991" w:type="dxa"/>
          </w:tcPr>
          <w:p>
            <w:pPr>
              <w:pStyle w:val="TableParagraph"/>
              <w:spacing w:line="230" w:lineRule="exact"/>
              <w:ind w:right="265" w:hanging="1"/>
              <w:rPr>
                <w:sz w:val="20"/>
              </w:rPr>
            </w:pPr>
            <w:r>
              <w:rPr>
                <w:sz w:val="20"/>
              </w:rPr>
              <w:t>Accumulators or battery pack lithium ion</w:t>
            </w:r>
          </w:p>
        </w:tc>
        <w:tc>
          <w:tcPr>
            <w:tcW w:w="1517" w:type="dxa"/>
          </w:tcPr>
          <w:p>
            <w:pPr>
              <w:pStyle w:val="TableParagraph"/>
              <w:spacing w:line="227" w:lineRule="exact"/>
              <w:ind w:left="108"/>
              <w:rPr>
                <w:sz w:val="20"/>
              </w:rPr>
            </w:pPr>
            <w:r>
              <w:rPr>
                <w:sz w:val="20"/>
              </w:rPr>
              <w:t>8507.60.00</w:t>
            </w:r>
          </w:p>
        </w:tc>
        <w:tc>
          <w:tcPr>
            <w:tcW w:w="1429" w:type="dxa"/>
          </w:tcPr>
          <w:p>
            <w:pPr>
              <w:pStyle w:val="TableParagraph"/>
              <w:spacing w:line="227" w:lineRule="exact"/>
              <w:ind w:left="109"/>
              <w:rPr>
                <w:sz w:val="20"/>
              </w:rPr>
            </w:pPr>
            <w:r>
              <w:rPr>
                <w:sz w:val="20"/>
              </w:rPr>
              <w:t>1130471</w:t>
            </w:r>
          </w:p>
        </w:tc>
      </w:tr>
      <w:tr>
        <w:trPr>
          <w:trHeight w:val="459" w:hRule="atLeast"/>
        </w:trPr>
        <w:tc>
          <w:tcPr>
            <w:tcW w:w="1517" w:type="dxa"/>
          </w:tcPr>
          <w:p>
            <w:pPr>
              <w:pStyle w:val="TableParagraph"/>
              <w:spacing w:line="227" w:lineRule="exact"/>
              <w:rPr>
                <w:sz w:val="20"/>
              </w:rPr>
            </w:pPr>
            <w:r>
              <w:rPr>
                <w:sz w:val="20"/>
              </w:rPr>
              <w:t>8507.80.00</w:t>
            </w:r>
          </w:p>
        </w:tc>
        <w:tc>
          <w:tcPr>
            <w:tcW w:w="1543" w:type="dxa"/>
          </w:tcPr>
          <w:p>
            <w:pPr>
              <w:pStyle w:val="TableParagraph"/>
              <w:spacing w:line="227" w:lineRule="exact"/>
              <w:rPr>
                <w:sz w:val="20"/>
              </w:rPr>
            </w:pPr>
            <w:r>
              <w:rPr>
                <w:sz w:val="20"/>
              </w:rPr>
              <w:t>0206404</w:t>
            </w:r>
          </w:p>
        </w:tc>
        <w:tc>
          <w:tcPr>
            <w:tcW w:w="2991" w:type="dxa"/>
          </w:tcPr>
          <w:p>
            <w:pPr>
              <w:pStyle w:val="TableParagraph"/>
              <w:spacing w:line="230" w:lineRule="exact"/>
              <w:ind w:right="487" w:hanging="1"/>
              <w:rPr>
                <w:sz w:val="20"/>
              </w:rPr>
            </w:pPr>
            <w:r>
              <w:rPr>
                <w:sz w:val="20"/>
              </w:rPr>
              <w:t>Accumulators NMH sealed moulded case</w:t>
            </w:r>
          </w:p>
        </w:tc>
        <w:tc>
          <w:tcPr>
            <w:tcW w:w="1517" w:type="dxa"/>
          </w:tcPr>
          <w:p>
            <w:pPr>
              <w:pStyle w:val="TableParagraph"/>
              <w:spacing w:line="227" w:lineRule="exact"/>
              <w:ind w:left="108"/>
              <w:rPr>
                <w:sz w:val="20"/>
              </w:rPr>
            </w:pPr>
            <w:r>
              <w:rPr>
                <w:sz w:val="20"/>
              </w:rPr>
              <w:t>8507.50.00</w:t>
            </w:r>
          </w:p>
        </w:tc>
        <w:tc>
          <w:tcPr>
            <w:tcW w:w="1429" w:type="dxa"/>
          </w:tcPr>
          <w:p>
            <w:pPr>
              <w:pStyle w:val="TableParagraph"/>
              <w:spacing w:line="227" w:lineRule="exact"/>
              <w:ind w:left="109"/>
              <w:rPr>
                <w:sz w:val="20"/>
              </w:rPr>
            </w:pPr>
            <w:r>
              <w:rPr>
                <w:sz w:val="20"/>
              </w:rPr>
              <w:t>1130464</w:t>
            </w:r>
          </w:p>
        </w:tc>
      </w:tr>
      <w:tr>
        <w:trPr>
          <w:trHeight w:val="229" w:hRule="atLeast"/>
        </w:trPr>
        <w:tc>
          <w:tcPr>
            <w:tcW w:w="1517" w:type="dxa"/>
          </w:tcPr>
          <w:p>
            <w:pPr>
              <w:pStyle w:val="TableParagraph"/>
              <w:spacing w:line="209" w:lineRule="exact"/>
              <w:rPr>
                <w:sz w:val="20"/>
              </w:rPr>
            </w:pPr>
            <w:r>
              <w:rPr>
                <w:sz w:val="20"/>
              </w:rPr>
              <w:t>8507.80.00</w:t>
            </w:r>
          </w:p>
        </w:tc>
        <w:tc>
          <w:tcPr>
            <w:tcW w:w="1543" w:type="dxa"/>
          </w:tcPr>
          <w:p>
            <w:pPr>
              <w:pStyle w:val="TableParagraph"/>
              <w:spacing w:line="209" w:lineRule="exact"/>
              <w:rPr>
                <w:sz w:val="20"/>
              </w:rPr>
            </w:pPr>
            <w:r>
              <w:rPr>
                <w:sz w:val="20"/>
              </w:rPr>
              <w:t>1048156</w:t>
            </w:r>
          </w:p>
        </w:tc>
        <w:tc>
          <w:tcPr>
            <w:tcW w:w="2991" w:type="dxa"/>
          </w:tcPr>
          <w:p>
            <w:pPr>
              <w:pStyle w:val="TableParagraph"/>
              <w:spacing w:line="209" w:lineRule="exact"/>
              <w:ind w:left="106"/>
              <w:rPr>
                <w:sz w:val="20"/>
              </w:rPr>
            </w:pPr>
            <w:r>
              <w:rPr>
                <w:sz w:val="20"/>
              </w:rPr>
              <w:t>Battery packs, camcorder</w:t>
            </w:r>
          </w:p>
        </w:tc>
        <w:tc>
          <w:tcPr>
            <w:tcW w:w="1517" w:type="dxa"/>
          </w:tcPr>
          <w:p>
            <w:pPr>
              <w:pStyle w:val="TableParagraph"/>
              <w:spacing w:line="209" w:lineRule="exact"/>
              <w:ind w:left="108"/>
              <w:rPr>
                <w:sz w:val="20"/>
              </w:rPr>
            </w:pPr>
            <w:r>
              <w:rPr>
                <w:sz w:val="20"/>
              </w:rPr>
              <w:t>8507.60.00</w:t>
            </w:r>
          </w:p>
        </w:tc>
        <w:tc>
          <w:tcPr>
            <w:tcW w:w="1429" w:type="dxa"/>
          </w:tcPr>
          <w:p>
            <w:pPr>
              <w:pStyle w:val="TableParagraph"/>
              <w:spacing w:line="209" w:lineRule="exact"/>
              <w:ind w:left="109"/>
              <w:rPr>
                <w:sz w:val="20"/>
              </w:rPr>
            </w:pPr>
            <w:r>
              <w:rPr>
                <w:sz w:val="20"/>
              </w:rPr>
              <w:t>1130524</w:t>
            </w:r>
          </w:p>
        </w:tc>
      </w:tr>
      <w:tr>
        <w:trPr>
          <w:trHeight w:val="230" w:hRule="atLeast"/>
        </w:trPr>
        <w:tc>
          <w:tcPr>
            <w:tcW w:w="1517" w:type="dxa"/>
          </w:tcPr>
          <w:p>
            <w:pPr>
              <w:pStyle w:val="TableParagraph"/>
              <w:rPr>
                <w:sz w:val="20"/>
              </w:rPr>
            </w:pPr>
            <w:r>
              <w:rPr>
                <w:sz w:val="20"/>
              </w:rPr>
              <w:t>8540.72</w:t>
            </w:r>
          </w:p>
        </w:tc>
        <w:tc>
          <w:tcPr>
            <w:tcW w:w="1543" w:type="dxa"/>
          </w:tcPr>
          <w:p>
            <w:pPr>
              <w:pStyle w:val="TableParagraph"/>
              <w:rPr>
                <w:sz w:val="20"/>
              </w:rPr>
            </w:pPr>
            <w:r>
              <w:rPr>
                <w:sz w:val="20"/>
              </w:rPr>
              <w:t>9604119</w:t>
            </w:r>
          </w:p>
        </w:tc>
        <w:tc>
          <w:tcPr>
            <w:tcW w:w="2991" w:type="dxa"/>
          </w:tcPr>
          <w:p>
            <w:pPr>
              <w:pStyle w:val="TableParagraph"/>
              <w:rPr>
                <w:sz w:val="20"/>
              </w:rPr>
            </w:pPr>
            <w:r>
              <w:rPr>
                <w:sz w:val="20"/>
              </w:rPr>
              <w:t>Klystrons</w:t>
            </w:r>
          </w:p>
        </w:tc>
        <w:tc>
          <w:tcPr>
            <w:tcW w:w="1517" w:type="dxa"/>
          </w:tcPr>
          <w:p>
            <w:pPr>
              <w:pStyle w:val="TableParagraph"/>
              <w:rPr>
                <w:sz w:val="20"/>
              </w:rPr>
            </w:pPr>
            <w:r>
              <w:rPr>
                <w:sz w:val="20"/>
              </w:rPr>
              <w:t>8540.79.00</w:t>
            </w:r>
          </w:p>
        </w:tc>
        <w:tc>
          <w:tcPr>
            <w:tcW w:w="1429" w:type="dxa"/>
          </w:tcPr>
          <w:p>
            <w:pPr>
              <w:pStyle w:val="TableParagraph"/>
              <w:ind w:left="109"/>
              <w:rPr>
                <w:sz w:val="20"/>
              </w:rPr>
            </w:pPr>
            <w:r>
              <w:rPr>
                <w:sz w:val="20"/>
              </w:rPr>
              <w:t>1134439</w:t>
            </w:r>
          </w:p>
        </w:tc>
      </w:tr>
      <w:tr>
        <w:trPr>
          <w:trHeight w:val="460" w:hRule="atLeast"/>
        </w:trPr>
        <w:tc>
          <w:tcPr>
            <w:tcW w:w="1517" w:type="dxa"/>
          </w:tcPr>
          <w:p>
            <w:pPr>
              <w:pStyle w:val="TableParagraph"/>
              <w:spacing w:line="227" w:lineRule="exact"/>
              <w:rPr>
                <w:sz w:val="20"/>
              </w:rPr>
            </w:pPr>
            <w:r>
              <w:rPr>
                <w:sz w:val="20"/>
              </w:rPr>
              <w:t>8714.19.10</w:t>
            </w:r>
          </w:p>
        </w:tc>
        <w:tc>
          <w:tcPr>
            <w:tcW w:w="1543" w:type="dxa"/>
          </w:tcPr>
          <w:p>
            <w:pPr>
              <w:pStyle w:val="TableParagraph"/>
              <w:spacing w:line="227" w:lineRule="exact"/>
              <w:rPr>
                <w:sz w:val="20"/>
              </w:rPr>
            </w:pPr>
            <w:r>
              <w:rPr>
                <w:sz w:val="20"/>
              </w:rPr>
              <w:t>0102404</w:t>
            </w:r>
          </w:p>
        </w:tc>
        <w:tc>
          <w:tcPr>
            <w:tcW w:w="2991" w:type="dxa"/>
          </w:tcPr>
          <w:p>
            <w:pPr>
              <w:pStyle w:val="TableParagraph"/>
              <w:spacing w:line="230" w:lineRule="exact"/>
              <w:ind w:right="442" w:hanging="1"/>
              <w:rPr>
                <w:sz w:val="20"/>
              </w:rPr>
            </w:pPr>
            <w:r>
              <w:rPr>
                <w:sz w:val="20"/>
              </w:rPr>
              <w:t>Pipes, expansion chamber, motor cross</w:t>
            </w:r>
          </w:p>
        </w:tc>
        <w:tc>
          <w:tcPr>
            <w:tcW w:w="1517" w:type="dxa"/>
          </w:tcPr>
          <w:p>
            <w:pPr>
              <w:pStyle w:val="TableParagraph"/>
              <w:spacing w:line="227" w:lineRule="exact"/>
              <w:ind w:left="108"/>
              <w:rPr>
                <w:sz w:val="20"/>
              </w:rPr>
            </w:pPr>
            <w:r>
              <w:rPr>
                <w:sz w:val="20"/>
              </w:rPr>
              <w:t>8714.10.10</w:t>
            </w:r>
          </w:p>
        </w:tc>
        <w:tc>
          <w:tcPr>
            <w:tcW w:w="1429" w:type="dxa"/>
          </w:tcPr>
          <w:p>
            <w:pPr>
              <w:pStyle w:val="TableParagraph"/>
              <w:spacing w:line="227" w:lineRule="exact"/>
              <w:ind w:left="109"/>
              <w:rPr>
                <w:sz w:val="20"/>
              </w:rPr>
            </w:pPr>
            <w:r>
              <w:rPr>
                <w:sz w:val="20"/>
              </w:rPr>
              <w:t>1134480</w:t>
            </w:r>
          </w:p>
        </w:tc>
      </w:tr>
      <w:tr>
        <w:trPr>
          <w:trHeight w:val="230" w:hRule="atLeast"/>
        </w:trPr>
        <w:tc>
          <w:tcPr>
            <w:tcW w:w="1517" w:type="dxa"/>
          </w:tcPr>
          <w:p>
            <w:pPr>
              <w:pStyle w:val="TableParagraph"/>
              <w:rPr>
                <w:sz w:val="20"/>
              </w:rPr>
            </w:pPr>
            <w:r>
              <w:rPr>
                <w:sz w:val="20"/>
              </w:rPr>
              <w:t>8714.19.10</w:t>
            </w:r>
          </w:p>
        </w:tc>
        <w:tc>
          <w:tcPr>
            <w:tcW w:w="1543" w:type="dxa"/>
          </w:tcPr>
          <w:p>
            <w:pPr>
              <w:pStyle w:val="TableParagraph"/>
              <w:rPr>
                <w:sz w:val="20"/>
              </w:rPr>
            </w:pPr>
            <w:r>
              <w:rPr>
                <w:sz w:val="20"/>
              </w:rPr>
              <w:t>0102405</w:t>
            </w:r>
          </w:p>
        </w:tc>
        <w:tc>
          <w:tcPr>
            <w:tcW w:w="2991" w:type="dxa"/>
          </w:tcPr>
          <w:p>
            <w:pPr>
              <w:pStyle w:val="TableParagraph"/>
              <w:ind w:left="106"/>
              <w:rPr>
                <w:sz w:val="20"/>
              </w:rPr>
            </w:pPr>
            <w:r>
              <w:rPr>
                <w:sz w:val="20"/>
              </w:rPr>
              <w:t>Exhausts, motor cross</w:t>
            </w:r>
          </w:p>
        </w:tc>
        <w:tc>
          <w:tcPr>
            <w:tcW w:w="1517" w:type="dxa"/>
          </w:tcPr>
          <w:p>
            <w:pPr>
              <w:pStyle w:val="TableParagraph"/>
              <w:ind w:left="109"/>
              <w:rPr>
                <w:sz w:val="20"/>
              </w:rPr>
            </w:pPr>
            <w:r>
              <w:rPr>
                <w:sz w:val="20"/>
              </w:rPr>
              <w:t>8714.10.10</w:t>
            </w:r>
          </w:p>
        </w:tc>
        <w:tc>
          <w:tcPr>
            <w:tcW w:w="1429" w:type="dxa"/>
          </w:tcPr>
          <w:p>
            <w:pPr>
              <w:pStyle w:val="TableParagraph"/>
              <w:ind w:left="110"/>
              <w:rPr>
                <w:sz w:val="20"/>
              </w:rPr>
            </w:pPr>
            <w:r>
              <w:rPr>
                <w:sz w:val="20"/>
              </w:rPr>
              <w:t>1134487</w:t>
            </w:r>
          </w:p>
        </w:tc>
      </w:tr>
      <w:tr>
        <w:trPr>
          <w:trHeight w:val="230" w:hRule="atLeast"/>
        </w:trPr>
        <w:tc>
          <w:tcPr>
            <w:tcW w:w="1517" w:type="dxa"/>
          </w:tcPr>
          <w:p>
            <w:pPr>
              <w:pStyle w:val="TableParagraph"/>
              <w:rPr>
                <w:sz w:val="20"/>
              </w:rPr>
            </w:pPr>
            <w:r>
              <w:rPr>
                <w:sz w:val="20"/>
              </w:rPr>
              <w:t>9008.30</w:t>
            </w:r>
          </w:p>
        </w:tc>
        <w:tc>
          <w:tcPr>
            <w:tcW w:w="1543" w:type="dxa"/>
          </w:tcPr>
          <w:p>
            <w:pPr>
              <w:pStyle w:val="TableParagraph"/>
              <w:rPr>
                <w:sz w:val="20"/>
              </w:rPr>
            </w:pPr>
            <w:r>
              <w:rPr>
                <w:sz w:val="20"/>
              </w:rPr>
              <w:t>8342279</w:t>
            </w:r>
          </w:p>
        </w:tc>
        <w:tc>
          <w:tcPr>
            <w:tcW w:w="2991" w:type="dxa"/>
          </w:tcPr>
          <w:p>
            <w:pPr>
              <w:pStyle w:val="TableParagraph"/>
              <w:ind w:left="106"/>
              <w:rPr>
                <w:sz w:val="20"/>
              </w:rPr>
            </w:pPr>
            <w:r>
              <w:rPr>
                <w:sz w:val="20"/>
              </w:rPr>
              <w:t>Projectors, image opaque copy</w:t>
            </w:r>
          </w:p>
        </w:tc>
        <w:tc>
          <w:tcPr>
            <w:tcW w:w="1517" w:type="dxa"/>
          </w:tcPr>
          <w:p>
            <w:pPr>
              <w:pStyle w:val="TableParagraph"/>
              <w:ind w:left="108"/>
              <w:rPr>
                <w:sz w:val="20"/>
              </w:rPr>
            </w:pPr>
            <w:r>
              <w:rPr>
                <w:sz w:val="20"/>
              </w:rPr>
              <w:t>9008.50.10</w:t>
            </w:r>
          </w:p>
        </w:tc>
        <w:tc>
          <w:tcPr>
            <w:tcW w:w="1429" w:type="dxa"/>
          </w:tcPr>
          <w:p>
            <w:pPr>
              <w:pStyle w:val="TableParagraph"/>
              <w:ind w:left="109"/>
              <w:rPr>
                <w:sz w:val="20"/>
              </w:rPr>
            </w:pPr>
            <w:r>
              <w:rPr>
                <w:sz w:val="20"/>
              </w:rPr>
              <w:t>1134460</w:t>
            </w:r>
          </w:p>
        </w:tc>
      </w:tr>
      <w:tr>
        <w:trPr>
          <w:trHeight w:val="230" w:hRule="atLeast"/>
        </w:trPr>
        <w:tc>
          <w:tcPr>
            <w:tcW w:w="1517" w:type="dxa"/>
          </w:tcPr>
          <w:p>
            <w:pPr>
              <w:pStyle w:val="TableParagraph"/>
              <w:rPr>
                <w:sz w:val="20"/>
              </w:rPr>
            </w:pPr>
            <w:r>
              <w:rPr>
                <w:sz w:val="20"/>
              </w:rPr>
              <w:t>9305.29.00</w:t>
            </w:r>
          </w:p>
        </w:tc>
        <w:tc>
          <w:tcPr>
            <w:tcW w:w="1543" w:type="dxa"/>
          </w:tcPr>
          <w:p>
            <w:pPr>
              <w:pStyle w:val="TableParagraph"/>
              <w:ind w:left="108"/>
              <w:rPr>
                <w:sz w:val="20"/>
              </w:rPr>
            </w:pPr>
            <w:r>
              <w:rPr>
                <w:sz w:val="20"/>
              </w:rPr>
              <w:t>9315580</w:t>
            </w:r>
          </w:p>
        </w:tc>
        <w:tc>
          <w:tcPr>
            <w:tcW w:w="2991" w:type="dxa"/>
          </w:tcPr>
          <w:p>
            <w:pPr>
              <w:pStyle w:val="TableParagraph"/>
              <w:rPr>
                <w:sz w:val="20"/>
              </w:rPr>
            </w:pPr>
            <w:r>
              <w:rPr>
                <w:sz w:val="20"/>
              </w:rPr>
              <w:t>Parts for muzzle loading rifles</w:t>
            </w:r>
          </w:p>
        </w:tc>
        <w:tc>
          <w:tcPr>
            <w:tcW w:w="1517" w:type="dxa"/>
          </w:tcPr>
          <w:p>
            <w:pPr>
              <w:pStyle w:val="TableParagraph"/>
              <w:ind w:left="108"/>
              <w:rPr>
                <w:sz w:val="20"/>
              </w:rPr>
            </w:pPr>
            <w:r>
              <w:rPr>
                <w:sz w:val="20"/>
              </w:rPr>
              <w:t>9305.20.90</w:t>
            </w:r>
          </w:p>
        </w:tc>
        <w:tc>
          <w:tcPr>
            <w:tcW w:w="1429" w:type="dxa"/>
          </w:tcPr>
          <w:p>
            <w:pPr>
              <w:pStyle w:val="TableParagraph"/>
              <w:ind w:left="109"/>
              <w:rPr>
                <w:sz w:val="20"/>
              </w:rPr>
            </w:pPr>
            <w:r>
              <w:rPr>
                <w:sz w:val="20"/>
              </w:rPr>
              <w:t>1134453</w:t>
            </w:r>
          </w:p>
        </w:tc>
      </w:tr>
      <w:tr>
        <w:trPr>
          <w:trHeight w:val="460" w:hRule="atLeast"/>
        </w:trPr>
        <w:tc>
          <w:tcPr>
            <w:tcW w:w="1517" w:type="dxa"/>
          </w:tcPr>
          <w:p>
            <w:pPr>
              <w:pStyle w:val="TableParagraph"/>
              <w:spacing w:line="227" w:lineRule="exact"/>
              <w:rPr>
                <w:sz w:val="20"/>
              </w:rPr>
            </w:pPr>
            <w:r>
              <w:rPr>
                <w:sz w:val="20"/>
              </w:rPr>
              <w:t>9504.90</w:t>
            </w:r>
          </w:p>
        </w:tc>
        <w:tc>
          <w:tcPr>
            <w:tcW w:w="1543" w:type="dxa"/>
          </w:tcPr>
          <w:p>
            <w:pPr>
              <w:pStyle w:val="TableParagraph"/>
              <w:spacing w:line="227" w:lineRule="exact"/>
              <w:rPr>
                <w:sz w:val="20"/>
              </w:rPr>
            </w:pPr>
            <w:r>
              <w:rPr>
                <w:sz w:val="20"/>
              </w:rPr>
              <w:t>9209007</w:t>
            </w:r>
          </w:p>
        </w:tc>
        <w:tc>
          <w:tcPr>
            <w:tcW w:w="2991" w:type="dxa"/>
          </w:tcPr>
          <w:p>
            <w:pPr>
              <w:pStyle w:val="TableParagraph"/>
              <w:spacing w:line="230" w:lineRule="exact"/>
              <w:ind w:right="386" w:hanging="1"/>
              <w:rPr>
                <w:sz w:val="20"/>
              </w:rPr>
            </w:pPr>
            <w:r>
              <w:rPr>
                <w:sz w:val="20"/>
              </w:rPr>
              <w:t>Return units, tenpin bowling ball</w:t>
            </w:r>
          </w:p>
        </w:tc>
        <w:tc>
          <w:tcPr>
            <w:tcW w:w="1517" w:type="dxa"/>
          </w:tcPr>
          <w:p>
            <w:pPr>
              <w:pStyle w:val="TableParagraph"/>
              <w:spacing w:line="227" w:lineRule="exact"/>
              <w:ind w:left="108"/>
              <w:rPr>
                <w:sz w:val="20"/>
              </w:rPr>
            </w:pPr>
            <w:r>
              <w:rPr>
                <w:sz w:val="20"/>
              </w:rPr>
              <w:t>9504.50.90</w:t>
            </w:r>
          </w:p>
        </w:tc>
        <w:tc>
          <w:tcPr>
            <w:tcW w:w="1429" w:type="dxa"/>
          </w:tcPr>
          <w:p>
            <w:pPr>
              <w:pStyle w:val="TableParagraph"/>
              <w:spacing w:line="227" w:lineRule="exact"/>
              <w:ind w:left="109"/>
              <w:rPr>
                <w:sz w:val="20"/>
              </w:rPr>
            </w:pPr>
            <w:r>
              <w:rPr>
                <w:sz w:val="20"/>
              </w:rPr>
              <w:t>1134451</w:t>
            </w:r>
          </w:p>
        </w:tc>
      </w:tr>
      <w:tr>
        <w:trPr>
          <w:trHeight w:val="459" w:hRule="atLeast"/>
        </w:trPr>
        <w:tc>
          <w:tcPr>
            <w:tcW w:w="1517" w:type="dxa"/>
          </w:tcPr>
          <w:p>
            <w:pPr>
              <w:pStyle w:val="TableParagraph"/>
              <w:spacing w:line="227" w:lineRule="exact"/>
              <w:rPr>
                <w:sz w:val="20"/>
              </w:rPr>
            </w:pPr>
            <w:r>
              <w:rPr>
                <w:sz w:val="20"/>
              </w:rPr>
              <w:t>9504.90.90</w:t>
            </w:r>
          </w:p>
        </w:tc>
        <w:tc>
          <w:tcPr>
            <w:tcW w:w="1543" w:type="dxa"/>
          </w:tcPr>
          <w:p>
            <w:pPr>
              <w:pStyle w:val="TableParagraph"/>
              <w:spacing w:line="227" w:lineRule="exact"/>
              <w:ind w:left="108"/>
              <w:rPr>
                <w:sz w:val="20"/>
              </w:rPr>
            </w:pPr>
            <w:r>
              <w:rPr>
                <w:sz w:val="20"/>
              </w:rPr>
              <w:t>0610217</w:t>
            </w:r>
          </w:p>
        </w:tc>
        <w:tc>
          <w:tcPr>
            <w:tcW w:w="2991" w:type="dxa"/>
          </w:tcPr>
          <w:p>
            <w:pPr>
              <w:pStyle w:val="TableParagraph"/>
              <w:spacing w:line="230" w:lineRule="exact"/>
              <w:ind w:right="553" w:hanging="1"/>
              <w:rPr>
                <w:sz w:val="20"/>
              </w:rPr>
            </w:pPr>
            <w:r>
              <w:rPr>
                <w:sz w:val="20"/>
              </w:rPr>
              <w:t>Consoles hand held video game</w:t>
            </w:r>
          </w:p>
        </w:tc>
        <w:tc>
          <w:tcPr>
            <w:tcW w:w="1517" w:type="dxa"/>
          </w:tcPr>
          <w:p>
            <w:pPr>
              <w:pStyle w:val="TableParagraph"/>
              <w:spacing w:line="227" w:lineRule="exact"/>
              <w:ind w:left="108"/>
              <w:rPr>
                <w:sz w:val="20"/>
              </w:rPr>
            </w:pPr>
            <w:r>
              <w:rPr>
                <w:sz w:val="20"/>
              </w:rPr>
              <w:t>9504.50.90</w:t>
            </w:r>
          </w:p>
        </w:tc>
        <w:tc>
          <w:tcPr>
            <w:tcW w:w="1429" w:type="dxa"/>
          </w:tcPr>
          <w:p>
            <w:pPr>
              <w:pStyle w:val="TableParagraph"/>
              <w:spacing w:line="227" w:lineRule="exact"/>
              <w:ind w:left="109"/>
              <w:rPr>
                <w:sz w:val="20"/>
              </w:rPr>
            </w:pPr>
            <w:r>
              <w:rPr>
                <w:sz w:val="20"/>
              </w:rPr>
              <w:t>1134450</w:t>
            </w:r>
          </w:p>
        </w:tc>
      </w:tr>
      <w:tr>
        <w:trPr>
          <w:trHeight w:val="229" w:hRule="atLeast"/>
        </w:trPr>
        <w:tc>
          <w:tcPr>
            <w:tcW w:w="1517" w:type="dxa"/>
          </w:tcPr>
          <w:p>
            <w:pPr>
              <w:pStyle w:val="TableParagraph"/>
              <w:spacing w:line="209" w:lineRule="exact"/>
              <w:rPr>
                <w:sz w:val="20"/>
              </w:rPr>
            </w:pPr>
            <w:r>
              <w:rPr>
                <w:sz w:val="20"/>
              </w:rPr>
              <w:t>9608.39</w:t>
            </w:r>
          </w:p>
        </w:tc>
        <w:tc>
          <w:tcPr>
            <w:tcW w:w="1543" w:type="dxa"/>
          </w:tcPr>
          <w:p>
            <w:pPr>
              <w:pStyle w:val="TableParagraph"/>
              <w:spacing w:line="209" w:lineRule="exact"/>
              <w:rPr>
                <w:sz w:val="20"/>
              </w:rPr>
            </w:pPr>
            <w:r>
              <w:rPr>
                <w:sz w:val="20"/>
              </w:rPr>
              <w:t>8903017</w:t>
            </w:r>
          </w:p>
        </w:tc>
        <w:tc>
          <w:tcPr>
            <w:tcW w:w="2991" w:type="dxa"/>
          </w:tcPr>
          <w:p>
            <w:pPr>
              <w:pStyle w:val="TableParagraph"/>
              <w:spacing w:line="209" w:lineRule="exact"/>
              <w:ind w:left="106"/>
              <w:rPr>
                <w:sz w:val="20"/>
              </w:rPr>
            </w:pPr>
            <w:r>
              <w:rPr>
                <w:sz w:val="20"/>
              </w:rPr>
              <w:t>Pens fountain</w:t>
            </w:r>
          </w:p>
        </w:tc>
        <w:tc>
          <w:tcPr>
            <w:tcW w:w="1517" w:type="dxa"/>
          </w:tcPr>
          <w:p>
            <w:pPr>
              <w:pStyle w:val="TableParagraph"/>
              <w:spacing w:line="209" w:lineRule="exact"/>
              <w:rPr>
                <w:sz w:val="20"/>
              </w:rPr>
            </w:pPr>
            <w:r>
              <w:rPr>
                <w:sz w:val="20"/>
              </w:rPr>
              <w:t>9608.30.90</w:t>
            </w:r>
          </w:p>
        </w:tc>
        <w:tc>
          <w:tcPr>
            <w:tcW w:w="1429" w:type="dxa"/>
          </w:tcPr>
          <w:p>
            <w:pPr>
              <w:pStyle w:val="TableParagraph"/>
              <w:spacing w:line="209" w:lineRule="exact"/>
              <w:ind w:left="108"/>
              <w:rPr>
                <w:sz w:val="20"/>
              </w:rPr>
            </w:pPr>
            <w:r>
              <w:rPr>
                <w:sz w:val="20"/>
              </w:rPr>
              <w:t>1134444</w:t>
            </w:r>
          </w:p>
        </w:tc>
      </w:tr>
      <w:tr>
        <w:trPr>
          <w:trHeight w:val="230" w:hRule="atLeast"/>
        </w:trPr>
        <w:tc>
          <w:tcPr>
            <w:tcW w:w="1517" w:type="dxa"/>
          </w:tcPr>
          <w:p>
            <w:pPr>
              <w:pStyle w:val="TableParagraph"/>
              <w:rPr>
                <w:sz w:val="20"/>
              </w:rPr>
            </w:pPr>
            <w:r>
              <w:rPr>
                <w:sz w:val="20"/>
              </w:rPr>
              <w:t>9608.39</w:t>
            </w:r>
          </w:p>
        </w:tc>
        <w:tc>
          <w:tcPr>
            <w:tcW w:w="1543" w:type="dxa"/>
          </w:tcPr>
          <w:p>
            <w:pPr>
              <w:pStyle w:val="TableParagraph"/>
              <w:rPr>
                <w:sz w:val="20"/>
              </w:rPr>
            </w:pPr>
            <w:r>
              <w:rPr>
                <w:sz w:val="20"/>
              </w:rPr>
              <w:t>8906736</w:t>
            </w:r>
          </w:p>
        </w:tc>
        <w:tc>
          <w:tcPr>
            <w:tcW w:w="2991" w:type="dxa"/>
          </w:tcPr>
          <w:p>
            <w:pPr>
              <w:pStyle w:val="TableParagraph"/>
              <w:ind w:left="106"/>
              <w:rPr>
                <w:sz w:val="20"/>
              </w:rPr>
            </w:pPr>
            <w:r>
              <w:rPr>
                <w:sz w:val="20"/>
              </w:rPr>
              <w:t>Calligraphy sets</w:t>
            </w:r>
          </w:p>
        </w:tc>
        <w:tc>
          <w:tcPr>
            <w:tcW w:w="1517" w:type="dxa"/>
          </w:tcPr>
          <w:p>
            <w:pPr>
              <w:pStyle w:val="TableParagraph"/>
              <w:rPr>
                <w:sz w:val="20"/>
              </w:rPr>
            </w:pPr>
            <w:r>
              <w:rPr>
                <w:sz w:val="20"/>
              </w:rPr>
              <w:t>9608.30.90</w:t>
            </w:r>
          </w:p>
        </w:tc>
        <w:tc>
          <w:tcPr>
            <w:tcW w:w="1429" w:type="dxa"/>
          </w:tcPr>
          <w:p>
            <w:pPr>
              <w:pStyle w:val="TableParagraph"/>
              <w:ind w:left="109"/>
              <w:rPr>
                <w:sz w:val="20"/>
              </w:rPr>
            </w:pPr>
            <w:r>
              <w:rPr>
                <w:sz w:val="20"/>
              </w:rPr>
              <w:t>1134447</w:t>
            </w:r>
          </w:p>
        </w:tc>
      </w:tr>
      <w:tr>
        <w:trPr>
          <w:trHeight w:val="230" w:hRule="atLeast"/>
        </w:trPr>
        <w:tc>
          <w:tcPr>
            <w:tcW w:w="1517" w:type="dxa"/>
          </w:tcPr>
          <w:p>
            <w:pPr>
              <w:pStyle w:val="TableParagraph"/>
              <w:rPr>
                <w:sz w:val="20"/>
              </w:rPr>
            </w:pPr>
            <w:r>
              <w:rPr>
                <w:sz w:val="20"/>
              </w:rPr>
              <w:t>9608.39.00</w:t>
            </w:r>
          </w:p>
        </w:tc>
        <w:tc>
          <w:tcPr>
            <w:tcW w:w="1543" w:type="dxa"/>
          </w:tcPr>
          <w:p>
            <w:pPr>
              <w:pStyle w:val="TableParagraph"/>
              <w:rPr>
                <w:sz w:val="20"/>
              </w:rPr>
            </w:pPr>
            <w:r>
              <w:rPr>
                <w:sz w:val="20"/>
              </w:rPr>
              <w:t>9404752</w:t>
            </w:r>
          </w:p>
        </w:tc>
        <w:tc>
          <w:tcPr>
            <w:tcW w:w="2991" w:type="dxa"/>
          </w:tcPr>
          <w:p>
            <w:pPr>
              <w:pStyle w:val="TableParagraph"/>
              <w:rPr>
                <w:sz w:val="20"/>
              </w:rPr>
            </w:pPr>
            <w:r>
              <w:rPr>
                <w:sz w:val="20"/>
              </w:rPr>
              <w:t>Marker pens</w:t>
            </w:r>
          </w:p>
        </w:tc>
        <w:tc>
          <w:tcPr>
            <w:tcW w:w="1517" w:type="dxa"/>
          </w:tcPr>
          <w:p>
            <w:pPr>
              <w:pStyle w:val="TableParagraph"/>
              <w:rPr>
                <w:sz w:val="20"/>
              </w:rPr>
            </w:pPr>
            <w:r>
              <w:rPr>
                <w:sz w:val="20"/>
              </w:rPr>
              <w:t>9608.30.90</w:t>
            </w:r>
          </w:p>
        </w:tc>
        <w:tc>
          <w:tcPr>
            <w:tcW w:w="1429" w:type="dxa"/>
          </w:tcPr>
          <w:p>
            <w:pPr>
              <w:pStyle w:val="TableParagraph"/>
              <w:ind w:left="108"/>
              <w:rPr>
                <w:sz w:val="20"/>
              </w:rPr>
            </w:pPr>
            <w:r>
              <w:rPr>
                <w:sz w:val="20"/>
              </w:rPr>
              <w:t>1134475</w:t>
            </w:r>
          </w:p>
        </w:tc>
      </w:tr>
      <w:tr>
        <w:trPr>
          <w:trHeight w:val="231" w:hRule="atLeast"/>
        </w:trPr>
        <w:tc>
          <w:tcPr>
            <w:tcW w:w="1517" w:type="dxa"/>
          </w:tcPr>
          <w:p>
            <w:pPr>
              <w:pStyle w:val="TableParagraph"/>
              <w:spacing w:line="211" w:lineRule="exact"/>
              <w:rPr>
                <w:sz w:val="20"/>
              </w:rPr>
            </w:pPr>
            <w:r>
              <w:rPr>
                <w:sz w:val="20"/>
              </w:rPr>
              <w:t>9608.39.00</w:t>
            </w:r>
          </w:p>
        </w:tc>
        <w:tc>
          <w:tcPr>
            <w:tcW w:w="1543" w:type="dxa"/>
          </w:tcPr>
          <w:p>
            <w:pPr>
              <w:pStyle w:val="TableParagraph"/>
              <w:spacing w:line="211" w:lineRule="exact"/>
              <w:rPr>
                <w:sz w:val="20"/>
              </w:rPr>
            </w:pPr>
            <w:r>
              <w:rPr>
                <w:sz w:val="20"/>
              </w:rPr>
              <w:t>9711274</w:t>
            </w:r>
          </w:p>
        </w:tc>
        <w:tc>
          <w:tcPr>
            <w:tcW w:w="2991" w:type="dxa"/>
          </w:tcPr>
          <w:p>
            <w:pPr>
              <w:pStyle w:val="TableParagraph"/>
              <w:spacing w:line="211" w:lineRule="exact"/>
              <w:rPr>
                <w:sz w:val="20"/>
              </w:rPr>
            </w:pPr>
            <w:r>
              <w:rPr>
                <w:sz w:val="20"/>
              </w:rPr>
              <w:t>Pens plotting machine</w:t>
            </w:r>
          </w:p>
        </w:tc>
        <w:tc>
          <w:tcPr>
            <w:tcW w:w="1517" w:type="dxa"/>
          </w:tcPr>
          <w:p>
            <w:pPr>
              <w:pStyle w:val="TableParagraph"/>
              <w:spacing w:line="211" w:lineRule="exact"/>
              <w:ind w:left="108"/>
              <w:rPr>
                <w:sz w:val="20"/>
              </w:rPr>
            </w:pPr>
            <w:r>
              <w:rPr>
                <w:sz w:val="20"/>
              </w:rPr>
              <w:t>9608.30.90</w:t>
            </w:r>
          </w:p>
        </w:tc>
        <w:tc>
          <w:tcPr>
            <w:tcW w:w="1429" w:type="dxa"/>
          </w:tcPr>
          <w:p>
            <w:pPr>
              <w:pStyle w:val="TableParagraph"/>
              <w:spacing w:line="211" w:lineRule="exact"/>
              <w:ind w:left="109"/>
              <w:rPr>
                <w:sz w:val="20"/>
              </w:rPr>
            </w:pPr>
            <w:r>
              <w:rPr>
                <w:sz w:val="20"/>
              </w:rPr>
              <w:t>1134479</w:t>
            </w:r>
          </w:p>
        </w:tc>
      </w:tr>
    </w:tbl>
    <w:p>
      <w:pPr>
        <w:spacing w:after="0" w:line="211" w:lineRule="exact"/>
        <w:rPr>
          <w:sz w:val="20"/>
        </w:rPr>
        <w:sectPr>
          <w:headerReference w:type="default" r:id="rId11"/>
          <w:pgSz w:w="11910" w:h="16840"/>
          <w:pgMar w:header="571" w:footer="0" w:top="780" w:bottom="280" w:left="160" w:right="180"/>
        </w:sectPr>
      </w:pPr>
    </w:p>
    <w:p>
      <w:pPr>
        <w:pStyle w:val="BodyText"/>
      </w:pPr>
    </w:p>
    <w:p>
      <w:pPr>
        <w:pStyle w:val="BodyText"/>
        <w:spacing w:before="6"/>
        <w:rPr>
          <w:sz w:val="29"/>
        </w:rPr>
      </w:pPr>
    </w:p>
    <w:tbl>
      <w:tblPr>
        <w:tblW w:w="0" w:type="auto"/>
        <w:jc w:val="left"/>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1260"/>
        <w:gridCol w:w="1440"/>
        <w:gridCol w:w="3104"/>
        <w:gridCol w:w="3015"/>
      </w:tblGrid>
      <w:tr>
        <w:trPr>
          <w:trHeight w:val="573" w:hRule="atLeast"/>
        </w:trPr>
        <w:tc>
          <w:tcPr>
            <w:tcW w:w="1276" w:type="dxa"/>
            <w:shd w:val="clear" w:color="auto" w:fill="F3F3F3"/>
          </w:tcPr>
          <w:p>
            <w:pPr>
              <w:pStyle w:val="TableParagraph"/>
              <w:spacing w:line="240" w:lineRule="auto" w:before="9"/>
              <w:ind w:left="0"/>
              <w:rPr>
                <w:sz w:val="24"/>
              </w:rPr>
            </w:pPr>
          </w:p>
          <w:p>
            <w:pPr>
              <w:pStyle w:val="TableParagraph"/>
              <w:spacing w:line="240" w:lineRule="auto"/>
              <w:ind w:left="153"/>
              <w:rPr>
                <w:b/>
                <w:sz w:val="20"/>
              </w:rPr>
            </w:pPr>
            <w:r>
              <w:rPr>
                <w:b/>
                <w:sz w:val="20"/>
              </w:rPr>
              <w:t>Precedent</w:t>
            </w:r>
          </w:p>
        </w:tc>
        <w:tc>
          <w:tcPr>
            <w:tcW w:w="1260" w:type="dxa"/>
            <w:shd w:val="clear" w:color="auto" w:fill="F3F3F3"/>
          </w:tcPr>
          <w:p>
            <w:pPr>
              <w:pStyle w:val="TableParagraph"/>
              <w:spacing w:line="240" w:lineRule="auto" w:before="55"/>
              <w:ind w:left="423" w:right="240" w:hanging="156"/>
              <w:rPr>
                <w:b/>
                <w:sz w:val="20"/>
              </w:rPr>
            </w:pPr>
            <w:r>
              <w:rPr>
                <w:b/>
                <w:sz w:val="20"/>
              </w:rPr>
              <w:t>Current Item</w:t>
            </w:r>
          </w:p>
        </w:tc>
        <w:tc>
          <w:tcPr>
            <w:tcW w:w="1440" w:type="dxa"/>
            <w:shd w:val="clear" w:color="auto" w:fill="F3F3F3"/>
          </w:tcPr>
          <w:p>
            <w:pPr>
              <w:pStyle w:val="TableParagraph"/>
              <w:spacing w:line="240" w:lineRule="auto" w:before="55"/>
              <w:ind w:left="119" w:right="90" w:firstLine="123"/>
              <w:rPr>
                <w:b/>
                <w:sz w:val="20"/>
              </w:rPr>
            </w:pPr>
            <w:r>
              <w:rPr>
                <w:b/>
                <w:sz w:val="20"/>
              </w:rPr>
              <w:t>Tariff Item post HS2012</w:t>
            </w:r>
          </w:p>
        </w:tc>
        <w:tc>
          <w:tcPr>
            <w:tcW w:w="3104" w:type="dxa"/>
            <w:shd w:val="clear" w:color="auto" w:fill="F3F3F3"/>
          </w:tcPr>
          <w:p>
            <w:pPr>
              <w:pStyle w:val="TableParagraph"/>
              <w:spacing w:line="240" w:lineRule="auto" w:before="9"/>
              <w:ind w:left="0"/>
              <w:rPr>
                <w:sz w:val="24"/>
              </w:rPr>
            </w:pPr>
          </w:p>
          <w:p>
            <w:pPr>
              <w:pStyle w:val="TableParagraph"/>
              <w:spacing w:line="240" w:lineRule="auto"/>
              <w:ind w:left="1130" w:right="1122"/>
              <w:jc w:val="center"/>
              <w:rPr>
                <w:b/>
                <w:sz w:val="20"/>
              </w:rPr>
            </w:pPr>
            <w:r>
              <w:rPr>
                <w:b/>
                <w:sz w:val="20"/>
              </w:rPr>
              <w:t>Old Text</w:t>
            </w:r>
          </w:p>
        </w:tc>
        <w:tc>
          <w:tcPr>
            <w:tcW w:w="3015" w:type="dxa"/>
            <w:shd w:val="clear" w:color="auto" w:fill="F3F3F3"/>
          </w:tcPr>
          <w:p>
            <w:pPr>
              <w:pStyle w:val="TableParagraph"/>
              <w:spacing w:line="240" w:lineRule="auto" w:before="9"/>
              <w:ind w:left="0"/>
              <w:rPr>
                <w:sz w:val="24"/>
              </w:rPr>
            </w:pPr>
          </w:p>
          <w:p>
            <w:pPr>
              <w:pStyle w:val="TableParagraph"/>
              <w:spacing w:line="240" w:lineRule="auto"/>
              <w:ind w:left="1047" w:right="1039"/>
              <w:jc w:val="center"/>
              <w:rPr>
                <w:b/>
                <w:sz w:val="20"/>
              </w:rPr>
            </w:pPr>
            <w:r>
              <w:rPr>
                <w:b/>
                <w:sz w:val="20"/>
              </w:rPr>
              <w:t>New Text</w:t>
            </w:r>
          </w:p>
        </w:tc>
      </w:tr>
      <w:tr>
        <w:trPr>
          <w:trHeight w:val="3583" w:hRule="atLeast"/>
        </w:trPr>
        <w:tc>
          <w:tcPr>
            <w:tcW w:w="1276" w:type="dxa"/>
          </w:tcPr>
          <w:p>
            <w:pPr>
              <w:pStyle w:val="TableParagraph"/>
              <w:spacing w:line="240" w:lineRule="auto" w:before="54"/>
              <w:ind w:left="108"/>
              <w:rPr>
                <w:sz w:val="20"/>
              </w:rPr>
            </w:pPr>
            <w:r>
              <w:rPr>
                <w:sz w:val="20"/>
              </w:rPr>
              <w:t>19570600</w:t>
            </w:r>
          </w:p>
        </w:tc>
        <w:tc>
          <w:tcPr>
            <w:tcW w:w="1260" w:type="dxa"/>
          </w:tcPr>
          <w:p>
            <w:pPr>
              <w:pStyle w:val="TableParagraph"/>
              <w:spacing w:line="240" w:lineRule="auto" w:before="54"/>
              <w:ind w:left="86" w:right="119"/>
              <w:jc w:val="center"/>
              <w:rPr>
                <w:sz w:val="20"/>
              </w:rPr>
            </w:pPr>
            <w:r>
              <w:rPr>
                <w:sz w:val="20"/>
              </w:rPr>
              <w:t>0714.90.10</w:t>
            </w:r>
          </w:p>
        </w:tc>
        <w:tc>
          <w:tcPr>
            <w:tcW w:w="1440" w:type="dxa"/>
          </w:tcPr>
          <w:p>
            <w:pPr>
              <w:pStyle w:val="TableParagraph"/>
              <w:spacing w:line="240" w:lineRule="auto" w:before="54"/>
              <w:ind w:left="106"/>
              <w:rPr>
                <w:sz w:val="20"/>
              </w:rPr>
            </w:pPr>
            <w:r>
              <w:rPr>
                <w:sz w:val="20"/>
              </w:rPr>
              <w:t>0714.30.10</w:t>
            </w:r>
          </w:p>
        </w:tc>
        <w:tc>
          <w:tcPr>
            <w:tcW w:w="3104" w:type="dxa"/>
          </w:tcPr>
          <w:p>
            <w:pPr>
              <w:pStyle w:val="TableParagraph"/>
              <w:spacing w:line="240" w:lineRule="auto" w:before="75"/>
              <w:ind w:right="116"/>
              <w:rPr>
                <w:sz w:val="20"/>
              </w:rPr>
            </w:pPr>
            <w:r>
              <w:rPr>
                <w:sz w:val="20"/>
              </w:rPr>
              <w:t>While in some places the terms sweet potato and yam are used interchangeably, they refer to different vegetables. Sweet potatoes are the edible roots of Ipomaea batatas. Yams are tubers of any of various climbing vines of the genus Dioscorea and are unrelated to the both the potato and sweet</w:t>
            </w:r>
            <w:r>
              <w:rPr>
                <w:spacing w:val="-11"/>
                <w:sz w:val="20"/>
              </w:rPr>
              <w:t> </w:t>
            </w:r>
            <w:r>
              <w:rPr>
                <w:sz w:val="20"/>
              </w:rPr>
              <w:t>potato.</w:t>
            </w:r>
          </w:p>
          <w:p>
            <w:pPr>
              <w:pStyle w:val="TableParagraph"/>
              <w:spacing w:line="240" w:lineRule="auto"/>
              <w:ind w:right="132"/>
              <w:rPr>
                <w:sz w:val="20"/>
              </w:rPr>
            </w:pPr>
            <w:r>
              <w:rPr>
                <w:sz w:val="20"/>
              </w:rPr>
              <w:t>Yams are similar roots and tubers to the exemplars given in 0714 and are classified to 0714.90.10 if frozen.</w:t>
            </w:r>
          </w:p>
        </w:tc>
        <w:tc>
          <w:tcPr>
            <w:tcW w:w="3015" w:type="dxa"/>
          </w:tcPr>
          <w:p>
            <w:pPr>
              <w:pStyle w:val="TableParagraph"/>
              <w:spacing w:line="240" w:lineRule="auto" w:before="76"/>
              <w:ind w:right="104"/>
              <w:rPr>
                <w:sz w:val="20"/>
              </w:rPr>
            </w:pPr>
            <w:r>
              <w:rPr>
                <w:sz w:val="20"/>
              </w:rPr>
              <w:t>While in some places the terms sweet potato and yam are used interchangeably, they refer to different vegetables. Sweet potatoes are the edible roots of Ipomaea batatas. Yams are tubers of any of various climbing vines of the genus Dioscorea and are unrelated to the both the potato and sweet potato. Yams (Dioscorea spp.) that are fresh, chilled, frozen or dried are classifiable to 0714 and are classified to 0714.30.10 if</w:t>
            </w:r>
            <w:r>
              <w:rPr>
                <w:spacing w:val="-4"/>
                <w:sz w:val="20"/>
              </w:rPr>
              <w:t> </w:t>
            </w:r>
            <w:r>
              <w:rPr>
                <w:sz w:val="20"/>
              </w:rPr>
              <w:t>frozen.</w:t>
            </w:r>
          </w:p>
        </w:tc>
      </w:tr>
      <w:tr>
        <w:trPr>
          <w:trHeight w:val="3813" w:hRule="atLeast"/>
        </w:trPr>
        <w:tc>
          <w:tcPr>
            <w:tcW w:w="1276" w:type="dxa"/>
          </w:tcPr>
          <w:p>
            <w:pPr>
              <w:pStyle w:val="TableParagraph"/>
              <w:spacing w:line="240" w:lineRule="auto" w:before="54"/>
              <w:ind w:left="108"/>
              <w:rPr>
                <w:sz w:val="20"/>
              </w:rPr>
            </w:pPr>
            <w:r>
              <w:rPr>
                <w:sz w:val="20"/>
              </w:rPr>
              <w:t>19570700</w:t>
            </w:r>
          </w:p>
        </w:tc>
        <w:tc>
          <w:tcPr>
            <w:tcW w:w="1260" w:type="dxa"/>
          </w:tcPr>
          <w:p>
            <w:pPr>
              <w:pStyle w:val="TableParagraph"/>
              <w:spacing w:line="240" w:lineRule="auto" w:before="54"/>
              <w:ind w:left="86" w:right="119"/>
              <w:jc w:val="center"/>
              <w:rPr>
                <w:sz w:val="20"/>
              </w:rPr>
            </w:pPr>
            <w:r>
              <w:rPr>
                <w:sz w:val="20"/>
              </w:rPr>
              <w:t>0714.90.90</w:t>
            </w:r>
          </w:p>
        </w:tc>
        <w:tc>
          <w:tcPr>
            <w:tcW w:w="1440" w:type="dxa"/>
          </w:tcPr>
          <w:p>
            <w:pPr>
              <w:pStyle w:val="TableParagraph"/>
              <w:spacing w:line="240" w:lineRule="auto" w:before="54"/>
              <w:ind w:left="106"/>
              <w:rPr>
                <w:sz w:val="20"/>
              </w:rPr>
            </w:pPr>
            <w:r>
              <w:rPr>
                <w:sz w:val="20"/>
              </w:rPr>
              <w:t>0714.30.90</w:t>
            </w:r>
          </w:p>
        </w:tc>
        <w:tc>
          <w:tcPr>
            <w:tcW w:w="3104" w:type="dxa"/>
          </w:tcPr>
          <w:p>
            <w:pPr>
              <w:pStyle w:val="TableParagraph"/>
              <w:spacing w:line="240" w:lineRule="auto" w:before="75"/>
              <w:ind w:right="116"/>
              <w:rPr>
                <w:sz w:val="20"/>
              </w:rPr>
            </w:pPr>
            <w:r>
              <w:rPr>
                <w:sz w:val="20"/>
              </w:rPr>
              <w:t>While in some places the terms sweet potato and yam are used interchangeably, they refer to different vegetables. Sweet potatoes are the edible roots of Ipomaea batatas. Yams are tubers of any of various climbing vines of the genus Dioscorea and are unrelated to the both the potato and sweet</w:t>
            </w:r>
            <w:r>
              <w:rPr>
                <w:spacing w:val="-11"/>
                <w:sz w:val="20"/>
              </w:rPr>
              <w:t> </w:t>
            </w:r>
            <w:r>
              <w:rPr>
                <w:sz w:val="20"/>
              </w:rPr>
              <w:t>potato.</w:t>
            </w:r>
          </w:p>
          <w:p>
            <w:pPr>
              <w:pStyle w:val="TableParagraph"/>
              <w:spacing w:line="240" w:lineRule="auto"/>
              <w:ind w:right="132"/>
              <w:rPr>
                <w:sz w:val="20"/>
              </w:rPr>
            </w:pPr>
            <w:r>
              <w:rPr>
                <w:sz w:val="20"/>
              </w:rPr>
              <w:t>Yams are similar roots and tubers to the exemplars given in 0714 and are classified to 0714.90.90</w:t>
            </w:r>
          </w:p>
        </w:tc>
        <w:tc>
          <w:tcPr>
            <w:tcW w:w="3015" w:type="dxa"/>
          </w:tcPr>
          <w:p>
            <w:pPr>
              <w:pStyle w:val="TableParagraph"/>
              <w:spacing w:line="240" w:lineRule="auto" w:before="76"/>
              <w:ind w:right="104"/>
              <w:rPr>
                <w:sz w:val="20"/>
              </w:rPr>
            </w:pPr>
            <w:r>
              <w:rPr>
                <w:sz w:val="20"/>
              </w:rPr>
              <w:t>While in some places the terms sweet potato and yam are used interchangeably, they refer to different vegetables. Sweet potatoes are the edible roots of Ipomaea batatas. Yams are tubers of any of various climbing vines of the genus Dioscorea and are unrelated to the both the potato and sweet potato. Yams (Dioscorea spp.) that are fresh, chilled, frozen or dried are classifiable to 0714 and are classified to 0714.30.90 when fresh, chilled or</w:t>
            </w:r>
            <w:r>
              <w:rPr>
                <w:spacing w:val="-2"/>
                <w:sz w:val="20"/>
              </w:rPr>
              <w:t> </w:t>
            </w:r>
            <w:r>
              <w:rPr>
                <w:sz w:val="20"/>
              </w:rPr>
              <w:t>dried.</w:t>
            </w:r>
          </w:p>
        </w:tc>
      </w:tr>
      <w:tr>
        <w:trPr>
          <w:trHeight w:val="1284" w:hRule="atLeast"/>
        </w:trPr>
        <w:tc>
          <w:tcPr>
            <w:tcW w:w="1276" w:type="dxa"/>
          </w:tcPr>
          <w:p>
            <w:pPr>
              <w:pStyle w:val="TableParagraph"/>
              <w:spacing w:line="240" w:lineRule="auto" w:before="54"/>
              <w:ind w:left="108"/>
              <w:rPr>
                <w:sz w:val="20"/>
              </w:rPr>
            </w:pPr>
            <w:r>
              <w:rPr>
                <w:sz w:val="20"/>
              </w:rPr>
              <w:t>19570900</w:t>
            </w:r>
          </w:p>
        </w:tc>
        <w:tc>
          <w:tcPr>
            <w:tcW w:w="1260" w:type="dxa"/>
          </w:tcPr>
          <w:p>
            <w:pPr>
              <w:pStyle w:val="TableParagraph"/>
              <w:spacing w:line="240" w:lineRule="auto" w:before="54"/>
              <w:ind w:left="86" w:right="119"/>
              <w:jc w:val="center"/>
              <w:rPr>
                <w:sz w:val="20"/>
              </w:rPr>
            </w:pPr>
            <w:r>
              <w:rPr>
                <w:sz w:val="20"/>
              </w:rPr>
              <w:t>1008.90.00</w:t>
            </w:r>
          </w:p>
        </w:tc>
        <w:tc>
          <w:tcPr>
            <w:tcW w:w="1440" w:type="dxa"/>
          </w:tcPr>
          <w:p>
            <w:pPr>
              <w:pStyle w:val="TableParagraph"/>
              <w:spacing w:line="240" w:lineRule="auto" w:before="54"/>
              <w:ind w:left="106"/>
              <w:rPr>
                <w:sz w:val="20"/>
              </w:rPr>
            </w:pPr>
            <w:r>
              <w:rPr>
                <w:sz w:val="20"/>
              </w:rPr>
              <w:t>1008.60.00</w:t>
            </w:r>
          </w:p>
        </w:tc>
        <w:tc>
          <w:tcPr>
            <w:tcW w:w="3104" w:type="dxa"/>
          </w:tcPr>
          <w:p>
            <w:pPr>
              <w:pStyle w:val="TableParagraph"/>
              <w:spacing w:line="240" w:lineRule="auto" w:before="75"/>
              <w:ind w:right="167"/>
              <w:rPr>
                <w:sz w:val="20"/>
              </w:rPr>
            </w:pPr>
            <w:r>
              <w:rPr>
                <w:sz w:val="20"/>
              </w:rPr>
              <w:t>As a hybrid of grains of 1001 and 1002, triticale is a grain different from both parents and is identified as an "other cereal" of 1008.</w:t>
            </w:r>
          </w:p>
        </w:tc>
        <w:tc>
          <w:tcPr>
            <w:tcW w:w="3015" w:type="dxa"/>
          </w:tcPr>
          <w:p>
            <w:pPr>
              <w:pStyle w:val="TableParagraph"/>
              <w:spacing w:line="240" w:lineRule="auto" w:before="75"/>
              <w:ind w:right="143"/>
              <w:rPr>
                <w:sz w:val="20"/>
              </w:rPr>
            </w:pPr>
            <w:r>
              <w:rPr>
                <w:sz w:val="20"/>
              </w:rPr>
              <w:t>As a hybrid of grains of 1001 and 1002, triticale is a grain different from both parents and is classified in its own right in 1008.60.00.</w:t>
            </w:r>
          </w:p>
        </w:tc>
      </w:tr>
      <w:tr>
        <w:trPr>
          <w:trHeight w:val="5193" w:hRule="atLeast"/>
        </w:trPr>
        <w:tc>
          <w:tcPr>
            <w:tcW w:w="1276" w:type="dxa"/>
          </w:tcPr>
          <w:p>
            <w:pPr>
              <w:pStyle w:val="TableParagraph"/>
              <w:spacing w:line="240" w:lineRule="auto" w:before="54"/>
              <w:ind w:left="108"/>
              <w:rPr>
                <w:sz w:val="20"/>
              </w:rPr>
            </w:pPr>
            <w:r>
              <w:rPr>
                <w:sz w:val="20"/>
              </w:rPr>
              <w:t>19571000</w:t>
            </w:r>
          </w:p>
        </w:tc>
        <w:tc>
          <w:tcPr>
            <w:tcW w:w="1260" w:type="dxa"/>
          </w:tcPr>
          <w:p>
            <w:pPr>
              <w:pStyle w:val="TableParagraph"/>
              <w:spacing w:line="240" w:lineRule="auto" w:before="54"/>
              <w:ind w:left="86" w:right="119"/>
              <w:jc w:val="center"/>
              <w:rPr>
                <w:sz w:val="20"/>
              </w:rPr>
            </w:pPr>
            <w:r>
              <w:rPr>
                <w:sz w:val="20"/>
              </w:rPr>
              <w:t>1202.20.00</w:t>
            </w:r>
          </w:p>
        </w:tc>
        <w:tc>
          <w:tcPr>
            <w:tcW w:w="1440" w:type="dxa"/>
          </w:tcPr>
          <w:p>
            <w:pPr>
              <w:pStyle w:val="TableParagraph"/>
              <w:spacing w:line="240" w:lineRule="auto" w:before="54"/>
              <w:ind w:left="106"/>
              <w:rPr>
                <w:sz w:val="20"/>
              </w:rPr>
            </w:pPr>
            <w:r>
              <w:rPr>
                <w:sz w:val="20"/>
              </w:rPr>
              <w:t>1202.42.00</w:t>
            </w:r>
          </w:p>
        </w:tc>
        <w:tc>
          <w:tcPr>
            <w:tcW w:w="3104" w:type="dxa"/>
          </w:tcPr>
          <w:p>
            <w:pPr>
              <w:pStyle w:val="TableParagraph"/>
              <w:spacing w:line="240" w:lineRule="auto" w:before="75"/>
              <w:ind w:right="98"/>
              <w:rPr>
                <w:sz w:val="20"/>
              </w:rPr>
            </w:pPr>
            <w:r>
              <w:rPr>
                <w:sz w:val="20"/>
              </w:rPr>
              <w:t>The blanching process is not part of the process whereby the nuts are prepared for eating, rather it relates to the removal of the skins. As such, it does not form part of the cooking process and accordingly the goods are more specifically described as "ground nuts, not roasted or otherwise cooked" of heading 1202 than "nuts and other edible parts of plants, otherwise prepared or preserved" of heading 2008. (AAT decision Re: Gaganis Bros. Imported Food Wholesalers Pty. Ltd. and Collector of Customs</w:t>
            </w:r>
            <w:r>
              <w:rPr>
                <w:spacing w:val="-3"/>
                <w:sz w:val="20"/>
              </w:rPr>
              <w:t> </w:t>
            </w:r>
            <w:r>
              <w:rPr>
                <w:sz w:val="20"/>
              </w:rPr>
              <w:t>Ref.</w:t>
            </w:r>
          </w:p>
          <w:p>
            <w:pPr>
              <w:pStyle w:val="TableParagraph"/>
              <w:spacing w:line="230" w:lineRule="exact"/>
              <w:rPr>
                <w:sz w:val="20"/>
              </w:rPr>
            </w:pPr>
            <w:r>
              <w:rPr>
                <w:sz w:val="20"/>
              </w:rPr>
              <w:t>S90/68 refers).</w:t>
            </w:r>
          </w:p>
        </w:tc>
        <w:tc>
          <w:tcPr>
            <w:tcW w:w="3015" w:type="dxa"/>
          </w:tcPr>
          <w:p>
            <w:pPr>
              <w:pStyle w:val="TableParagraph"/>
              <w:spacing w:line="240" w:lineRule="auto" w:before="76"/>
              <w:ind w:right="210"/>
              <w:rPr>
                <w:sz w:val="20"/>
              </w:rPr>
            </w:pPr>
            <w:r>
              <w:rPr>
                <w:sz w:val="20"/>
              </w:rPr>
              <w:t>The blanching process is not part of the process whereby the nuts are prepared for eating, rather it relates to the removal of the skins. As such, it does not form part of the cooking process and accordingly the goods are more specifically described as "ground nuts, not roasted or otherwise cooked" of heading 1202 than "nuts and other edible parts of plants, otherwise prepared or preserved" of heading 2008. (AAT decision Re: Gaganis Bros. Imported Food Wholesalers Pty. Ltd. and Collector of Customs Ref.</w:t>
            </w:r>
          </w:p>
          <w:p>
            <w:pPr>
              <w:pStyle w:val="TableParagraph"/>
              <w:spacing w:line="240" w:lineRule="auto"/>
              <w:ind w:right="118"/>
              <w:rPr>
                <w:sz w:val="20"/>
              </w:rPr>
            </w:pPr>
            <w:r>
              <w:rPr>
                <w:sz w:val="20"/>
              </w:rPr>
              <w:t>S90/68 refers). As peanuts are shelled prior to blanching, they fall to 1202.42.00</w:t>
            </w:r>
          </w:p>
        </w:tc>
      </w:tr>
    </w:tbl>
    <w:p>
      <w:pPr>
        <w:spacing w:after="0" w:line="240" w:lineRule="auto"/>
        <w:rPr>
          <w:sz w:val="20"/>
        </w:rPr>
        <w:sectPr>
          <w:headerReference w:type="default" r:id="rId12"/>
          <w:pgSz w:w="11910" w:h="16840"/>
          <w:pgMar w:header="571" w:footer="0" w:top="780" w:bottom="280" w:left="160" w:right="180"/>
        </w:sectPr>
      </w:pPr>
    </w:p>
    <w:p>
      <w:pPr>
        <w:pStyle w:val="BodyText"/>
        <w:spacing w:before="5"/>
        <w:rPr>
          <w:sz w:val="29"/>
        </w:rPr>
      </w:pPr>
    </w:p>
    <w:tbl>
      <w:tblPr>
        <w:tblW w:w="0" w:type="auto"/>
        <w:jc w:val="left"/>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1260"/>
        <w:gridCol w:w="1440"/>
        <w:gridCol w:w="3104"/>
        <w:gridCol w:w="3015"/>
      </w:tblGrid>
      <w:tr>
        <w:trPr>
          <w:trHeight w:val="574" w:hRule="atLeast"/>
        </w:trPr>
        <w:tc>
          <w:tcPr>
            <w:tcW w:w="1276" w:type="dxa"/>
            <w:shd w:val="clear" w:color="auto" w:fill="F3F3F3"/>
          </w:tcPr>
          <w:p>
            <w:pPr>
              <w:pStyle w:val="TableParagraph"/>
              <w:spacing w:line="240" w:lineRule="auto" w:before="9"/>
              <w:ind w:left="0"/>
              <w:rPr>
                <w:sz w:val="24"/>
              </w:rPr>
            </w:pPr>
          </w:p>
          <w:p>
            <w:pPr>
              <w:pStyle w:val="TableParagraph"/>
              <w:spacing w:line="240" w:lineRule="auto"/>
              <w:ind w:left="0" w:right="142"/>
              <w:jc w:val="right"/>
              <w:rPr>
                <w:b/>
                <w:sz w:val="20"/>
              </w:rPr>
            </w:pPr>
            <w:r>
              <w:rPr>
                <w:b/>
                <w:sz w:val="20"/>
              </w:rPr>
              <w:t>Precedent</w:t>
            </w:r>
          </w:p>
        </w:tc>
        <w:tc>
          <w:tcPr>
            <w:tcW w:w="1260" w:type="dxa"/>
            <w:shd w:val="clear" w:color="auto" w:fill="F3F3F3"/>
          </w:tcPr>
          <w:p>
            <w:pPr>
              <w:pStyle w:val="TableParagraph"/>
              <w:spacing w:line="240" w:lineRule="auto" w:before="55"/>
              <w:ind w:left="423" w:right="240" w:hanging="156"/>
              <w:rPr>
                <w:b/>
                <w:sz w:val="20"/>
              </w:rPr>
            </w:pPr>
            <w:r>
              <w:rPr>
                <w:b/>
                <w:sz w:val="20"/>
              </w:rPr>
              <w:t>Current Item</w:t>
            </w:r>
          </w:p>
        </w:tc>
        <w:tc>
          <w:tcPr>
            <w:tcW w:w="1440" w:type="dxa"/>
            <w:shd w:val="clear" w:color="auto" w:fill="F3F3F3"/>
          </w:tcPr>
          <w:p>
            <w:pPr>
              <w:pStyle w:val="TableParagraph"/>
              <w:spacing w:line="240" w:lineRule="auto" w:before="55"/>
              <w:ind w:left="119" w:right="90" w:firstLine="123"/>
              <w:rPr>
                <w:b/>
                <w:sz w:val="20"/>
              </w:rPr>
            </w:pPr>
            <w:r>
              <w:rPr>
                <w:b/>
                <w:sz w:val="20"/>
              </w:rPr>
              <w:t>Tariff Item post HS2012</w:t>
            </w:r>
          </w:p>
        </w:tc>
        <w:tc>
          <w:tcPr>
            <w:tcW w:w="3104" w:type="dxa"/>
            <w:shd w:val="clear" w:color="auto" w:fill="F3F3F3"/>
          </w:tcPr>
          <w:p>
            <w:pPr>
              <w:pStyle w:val="TableParagraph"/>
              <w:spacing w:line="240" w:lineRule="auto" w:before="9"/>
              <w:ind w:left="0"/>
              <w:rPr>
                <w:sz w:val="24"/>
              </w:rPr>
            </w:pPr>
          </w:p>
          <w:p>
            <w:pPr>
              <w:pStyle w:val="TableParagraph"/>
              <w:spacing w:line="240" w:lineRule="auto"/>
              <w:ind w:left="1130" w:right="1122"/>
              <w:jc w:val="center"/>
              <w:rPr>
                <w:b/>
                <w:sz w:val="20"/>
              </w:rPr>
            </w:pPr>
            <w:r>
              <w:rPr>
                <w:b/>
                <w:sz w:val="20"/>
              </w:rPr>
              <w:t>Old Text</w:t>
            </w:r>
          </w:p>
        </w:tc>
        <w:tc>
          <w:tcPr>
            <w:tcW w:w="3015" w:type="dxa"/>
            <w:shd w:val="clear" w:color="auto" w:fill="F3F3F3"/>
          </w:tcPr>
          <w:p>
            <w:pPr>
              <w:pStyle w:val="TableParagraph"/>
              <w:spacing w:line="240" w:lineRule="auto" w:before="9"/>
              <w:ind w:left="0"/>
              <w:rPr>
                <w:sz w:val="24"/>
              </w:rPr>
            </w:pPr>
          </w:p>
          <w:p>
            <w:pPr>
              <w:pStyle w:val="TableParagraph"/>
              <w:spacing w:line="240" w:lineRule="auto"/>
              <w:ind w:left="1047" w:right="1039"/>
              <w:jc w:val="center"/>
              <w:rPr>
                <w:b/>
                <w:sz w:val="20"/>
              </w:rPr>
            </w:pPr>
            <w:r>
              <w:rPr>
                <w:b/>
                <w:sz w:val="20"/>
              </w:rPr>
              <w:t>New Text</w:t>
            </w:r>
          </w:p>
        </w:tc>
      </w:tr>
      <w:tr>
        <w:trPr>
          <w:trHeight w:val="5943" w:hRule="atLeast"/>
        </w:trPr>
        <w:tc>
          <w:tcPr>
            <w:tcW w:w="1276" w:type="dxa"/>
          </w:tcPr>
          <w:p>
            <w:pPr>
              <w:pStyle w:val="TableParagraph"/>
              <w:spacing w:line="240" w:lineRule="auto" w:before="54"/>
              <w:ind w:left="0" w:right="96"/>
              <w:jc w:val="right"/>
              <w:rPr>
                <w:sz w:val="20"/>
              </w:rPr>
            </w:pPr>
            <w:r>
              <w:rPr>
                <w:sz w:val="20"/>
              </w:rPr>
              <w:t>20110200</w:t>
            </w:r>
          </w:p>
        </w:tc>
        <w:tc>
          <w:tcPr>
            <w:tcW w:w="1260" w:type="dxa"/>
          </w:tcPr>
          <w:p>
            <w:pPr>
              <w:pStyle w:val="TableParagraph"/>
              <w:spacing w:line="240" w:lineRule="auto" w:before="54"/>
              <w:ind w:left="88" w:right="118"/>
              <w:jc w:val="center"/>
              <w:rPr>
                <w:sz w:val="20"/>
              </w:rPr>
            </w:pPr>
            <w:r>
              <w:rPr>
                <w:sz w:val="20"/>
              </w:rPr>
              <w:t>2008.99.00</w:t>
            </w:r>
          </w:p>
        </w:tc>
        <w:tc>
          <w:tcPr>
            <w:tcW w:w="1440" w:type="dxa"/>
          </w:tcPr>
          <w:p>
            <w:pPr>
              <w:pStyle w:val="TableParagraph"/>
              <w:spacing w:line="240" w:lineRule="auto" w:before="54"/>
              <w:ind w:left="108"/>
              <w:rPr>
                <w:sz w:val="20"/>
              </w:rPr>
            </w:pPr>
            <w:r>
              <w:rPr>
                <w:sz w:val="20"/>
              </w:rPr>
              <w:t>Unchanged</w:t>
            </w:r>
          </w:p>
        </w:tc>
        <w:tc>
          <w:tcPr>
            <w:tcW w:w="3104" w:type="dxa"/>
          </w:tcPr>
          <w:p>
            <w:pPr>
              <w:pStyle w:val="TableParagraph"/>
              <w:spacing w:line="240" w:lineRule="auto" w:before="75"/>
              <w:ind w:right="131"/>
              <w:rPr>
                <w:sz w:val="20"/>
              </w:rPr>
            </w:pPr>
            <w:r>
              <w:rPr>
                <w:sz w:val="20"/>
              </w:rPr>
              <w:t>This heading covers canned or bottled fruit puree which has not been cooked.</w:t>
            </w:r>
          </w:p>
          <w:p>
            <w:pPr>
              <w:pStyle w:val="TableParagraph"/>
              <w:spacing w:line="242" w:lineRule="auto" w:before="19"/>
              <w:ind w:right="88"/>
              <w:rPr>
                <w:sz w:val="20"/>
              </w:rPr>
            </w:pPr>
            <w:r>
              <w:rPr>
                <w:sz w:val="20"/>
              </w:rPr>
              <w:t>The Macquarie defines 'pasteurise' as "to swiftly heat (milk, etc.) to a high temperature and then swiftly cool to a low temperature, in order to destroy certain microorganisms and prevent or arrest fermentation." Pasteurisation is a method to partially sterilised food. Unlike cooking, it does not aim to alter the substance of the food in order to prepare it for eating.</w:t>
            </w:r>
          </w:p>
          <w:p>
            <w:pPr>
              <w:pStyle w:val="TableParagraph"/>
              <w:spacing w:line="240" w:lineRule="auto"/>
              <w:ind w:right="242"/>
              <w:rPr>
                <w:sz w:val="20"/>
              </w:rPr>
            </w:pPr>
            <w:r>
              <w:rPr>
                <w:sz w:val="20"/>
              </w:rPr>
              <w:t>Hence pasteurisation in the absence of other cooking does not require a fruit puree to be classified to 2007.</w:t>
            </w:r>
          </w:p>
          <w:p>
            <w:pPr>
              <w:pStyle w:val="TableParagraph"/>
              <w:spacing w:line="240" w:lineRule="auto" w:before="14"/>
              <w:ind w:right="187"/>
              <w:rPr>
                <w:sz w:val="20"/>
              </w:rPr>
            </w:pPr>
            <w:r>
              <w:rPr>
                <w:sz w:val="20"/>
              </w:rPr>
              <w:t>Classification is to 2008, and, if made of a fruit other than those named in 2008.20.00 to 2008.80.00, is classified to 2008.99.00.</w:t>
            </w:r>
          </w:p>
        </w:tc>
        <w:tc>
          <w:tcPr>
            <w:tcW w:w="3015" w:type="dxa"/>
          </w:tcPr>
          <w:p>
            <w:pPr>
              <w:pStyle w:val="TableParagraph"/>
              <w:spacing w:line="240" w:lineRule="auto" w:before="76"/>
              <w:ind w:right="143"/>
              <w:rPr>
                <w:sz w:val="20"/>
              </w:rPr>
            </w:pPr>
            <w:r>
              <w:rPr>
                <w:sz w:val="20"/>
              </w:rPr>
              <w:t>This heading covers canned or bottled fruit puree that has not been cooked.</w:t>
            </w:r>
          </w:p>
          <w:p>
            <w:pPr>
              <w:pStyle w:val="TableParagraph"/>
              <w:spacing w:line="242" w:lineRule="auto" w:before="19"/>
              <w:ind w:right="118"/>
              <w:rPr>
                <w:sz w:val="20"/>
              </w:rPr>
            </w:pPr>
            <w:r>
              <w:rPr>
                <w:sz w:val="20"/>
              </w:rPr>
              <w:t>The Macquarie defines 'pasteurise' as "to swiftly heat (milk, etc.) to a high temperature and then swiftly cool to a low temperature, in order to destroy certain micro- organisms and prevent or arrest fermentation." Pasteurisation is a method to partially sterilised food. Unlike cooking, it does not aim to alter the substance of the food in order to prepare it for eating.</w:t>
            </w:r>
          </w:p>
          <w:p>
            <w:pPr>
              <w:pStyle w:val="TableParagraph"/>
              <w:spacing w:line="240" w:lineRule="auto"/>
              <w:ind w:right="153"/>
              <w:rPr>
                <w:sz w:val="20"/>
              </w:rPr>
            </w:pPr>
            <w:r>
              <w:rPr>
                <w:sz w:val="20"/>
              </w:rPr>
              <w:t>Hence pasteurisation in the absence of other cooking does not require a fruit puree to be classified to 2007.</w:t>
            </w:r>
          </w:p>
          <w:p>
            <w:pPr>
              <w:pStyle w:val="TableParagraph"/>
              <w:spacing w:line="240" w:lineRule="auto" w:before="12"/>
              <w:ind w:right="141"/>
              <w:rPr>
                <w:sz w:val="20"/>
              </w:rPr>
            </w:pPr>
            <w:r>
              <w:rPr>
                <w:sz w:val="20"/>
              </w:rPr>
              <w:t>Classification is to 2008, and,</w:t>
            </w:r>
            <w:r>
              <w:rPr>
                <w:spacing w:val="-27"/>
                <w:sz w:val="20"/>
              </w:rPr>
              <w:t> </w:t>
            </w:r>
            <w:r>
              <w:rPr>
                <w:sz w:val="20"/>
              </w:rPr>
              <w:t>if made of a single fruit other than those named in 2008.20.00 to 2008.93.00,</w:t>
            </w:r>
            <w:r>
              <w:rPr>
                <w:spacing w:val="-12"/>
                <w:sz w:val="20"/>
              </w:rPr>
              <w:t> </w:t>
            </w:r>
            <w:r>
              <w:rPr>
                <w:sz w:val="20"/>
              </w:rPr>
              <w:t>is</w:t>
            </w:r>
          </w:p>
          <w:p>
            <w:pPr>
              <w:pStyle w:val="TableParagraph"/>
              <w:spacing w:line="229" w:lineRule="exact"/>
              <w:rPr>
                <w:sz w:val="20"/>
              </w:rPr>
            </w:pPr>
            <w:r>
              <w:rPr>
                <w:sz w:val="20"/>
              </w:rPr>
              <w:t>classified to 2008.99.00.</w:t>
            </w:r>
          </w:p>
        </w:tc>
      </w:tr>
      <w:tr>
        <w:trPr>
          <w:trHeight w:val="364" w:hRule="atLeast"/>
        </w:trPr>
        <w:tc>
          <w:tcPr>
            <w:tcW w:w="1276" w:type="dxa"/>
          </w:tcPr>
          <w:p>
            <w:pPr>
              <w:pStyle w:val="TableParagraph"/>
              <w:spacing w:line="240" w:lineRule="auto" w:before="54"/>
              <w:ind w:left="0" w:right="97"/>
              <w:jc w:val="right"/>
              <w:rPr>
                <w:sz w:val="20"/>
              </w:rPr>
            </w:pPr>
            <w:r>
              <w:rPr>
                <w:sz w:val="20"/>
              </w:rPr>
              <w:t>19572800</w:t>
            </w:r>
          </w:p>
        </w:tc>
        <w:tc>
          <w:tcPr>
            <w:tcW w:w="1260" w:type="dxa"/>
          </w:tcPr>
          <w:p>
            <w:pPr>
              <w:pStyle w:val="TableParagraph"/>
              <w:spacing w:line="240" w:lineRule="auto" w:before="54"/>
              <w:ind w:left="86" w:right="119"/>
              <w:jc w:val="center"/>
              <w:rPr>
                <w:sz w:val="20"/>
              </w:rPr>
            </w:pPr>
            <w:r>
              <w:rPr>
                <w:sz w:val="20"/>
              </w:rPr>
              <w:t>2528.90.00</w:t>
            </w:r>
          </w:p>
        </w:tc>
        <w:tc>
          <w:tcPr>
            <w:tcW w:w="1440" w:type="dxa"/>
          </w:tcPr>
          <w:p>
            <w:pPr>
              <w:pStyle w:val="TableParagraph"/>
              <w:spacing w:line="240" w:lineRule="auto" w:before="54"/>
              <w:ind w:left="106"/>
              <w:rPr>
                <w:sz w:val="20"/>
              </w:rPr>
            </w:pPr>
            <w:r>
              <w:rPr>
                <w:sz w:val="20"/>
              </w:rPr>
              <w:t>2528.00.00</w:t>
            </w:r>
          </w:p>
        </w:tc>
        <w:tc>
          <w:tcPr>
            <w:tcW w:w="6119" w:type="dxa"/>
            <w:gridSpan w:val="2"/>
          </w:tcPr>
          <w:p>
            <w:pPr>
              <w:pStyle w:val="TableParagraph"/>
              <w:spacing w:line="240" w:lineRule="auto" w:before="75"/>
              <w:rPr>
                <w:sz w:val="20"/>
              </w:rPr>
            </w:pPr>
            <w:r>
              <w:rPr>
                <w:sz w:val="20"/>
              </w:rPr>
              <w:t>No wording change required</w:t>
            </w:r>
          </w:p>
        </w:tc>
      </w:tr>
      <w:tr>
        <w:trPr>
          <w:trHeight w:val="363" w:hRule="atLeast"/>
        </w:trPr>
        <w:tc>
          <w:tcPr>
            <w:tcW w:w="1276" w:type="dxa"/>
          </w:tcPr>
          <w:p>
            <w:pPr>
              <w:pStyle w:val="TableParagraph"/>
              <w:spacing w:line="240" w:lineRule="auto" w:before="54"/>
              <w:ind w:left="0" w:right="97"/>
              <w:jc w:val="right"/>
              <w:rPr>
                <w:sz w:val="20"/>
              </w:rPr>
            </w:pPr>
            <w:r>
              <w:rPr>
                <w:sz w:val="20"/>
              </w:rPr>
              <w:t>19573500</w:t>
            </w:r>
          </w:p>
        </w:tc>
        <w:tc>
          <w:tcPr>
            <w:tcW w:w="1260" w:type="dxa"/>
          </w:tcPr>
          <w:p>
            <w:pPr>
              <w:pStyle w:val="TableParagraph"/>
              <w:spacing w:line="240" w:lineRule="auto" w:before="54"/>
              <w:ind w:left="86" w:right="119"/>
              <w:jc w:val="center"/>
              <w:rPr>
                <w:sz w:val="20"/>
              </w:rPr>
            </w:pPr>
            <w:r>
              <w:rPr>
                <w:sz w:val="20"/>
              </w:rPr>
              <w:t>3002.10.00</w:t>
            </w:r>
          </w:p>
        </w:tc>
        <w:tc>
          <w:tcPr>
            <w:tcW w:w="1440" w:type="dxa"/>
          </w:tcPr>
          <w:p>
            <w:pPr>
              <w:pStyle w:val="TableParagraph"/>
              <w:spacing w:line="240" w:lineRule="auto" w:before="54"/>
              <w:ind w:left="106"/>
              <w:rPr>
                <w:sz w:val="20"/>
              </w:rPr>
            </w:pPr>
            <w:r>
              <w:rPr>
                <w:sz w:val="20"/>
              </w:rPr>
              <w:t>3002.10.90</w:t>
            </w:r>
          </w:p>
        </w:tc>
        <w:tc>
          <w:tcPr>
            <w:tcW w:w="6119" w:type="dxa"/>
            <w:gridSpan w:val="2"/>
          </w:tcPr>
          <w:p>
            <w:pPr>
              <w:pStyle w:val="TableParagraph"/>
              <w:spacing w:line="240" w:lineRule="auto" w:before="75"/>
              <w:rPr>
                <w:sz w:val="20"/>
              </w:rPr>
            </w:pPr>
            <w:r>
              <w:rPr>
                <w:sz w:val="20"/>
              </w:rPr>
              <w:t>No wording change required</w:t>
            </w:r>
          </w:p>
        </w:tc>
      </w:tr>
      <w:tr>
        <w:trPr>
          <w:trHeight w:val="364" w:hRule="atLeast"/>
        </w:trPr>
        <w:tc>
          <w:tcPr>
            <w:tcW w:w="1276" w:type="dxa"/>
          </w:tcPr>
          <w:p>
            <w:pPr>
              <w:pStyle w:val="TableParagraph"/>
              <w:spacing w:line="240" w:lineRule="auto" w:before="54"/>
              <w:ind w:left="0" w:right="97"/>
              <w:jc w:val="right"/>
              <w:rPr>
                <w:sz w:val="20"/>
              </w:rPr>
            </w:pPr>
            <w:r>
              <w:rPr>
                <w:sz w:val="20"/>
              </w:rPr>
              <w:t>19929800</w:t>
            </w:r>
          </w:p>
        </w:tc>
        <w:tc>
          <w:tcPr>
            <w:tcW w:w="1260" w:type="dxa"/>
          </w:tcPr>
          <w:p>
            <w:pPr>
              <w:pStyle w:val="TableParagraph"/>
              <w:spacing w:line="240" w:lineRule="auto" w:before="54"/>
              <w:ind w:left="86" w:right="119"/>
              <w:jc w:val="center"/>
              <w:rPr>
                <w:sz w:val="20"/>
              </w:rPr>
            </w:pPr>
            <w:r>
              <w:rPr>
                <w:sz w:val="20"/>
              </w:rPr>
              <w:t>3005.90.90</w:t>
            </w:r>
          </w:p>
        </w:tc>
        <w:tc>
          <w:tcPr>
            <w:tcW w:w="1440" w:type="dxa"/>
          </w:tcPr>
          <w:p>
            <w:pPr>
              <w:pStyle w:val="TableParagraph"/>
              <w:spacing w:line="240" w:lineRule="auto" w:before="54"/>
              <w:ind w:left="106"/>
              <w:rPr>
                <w:sz w:val="20"/>
              </w:rPr>
            </w:pPr>
            <w:r>
              <w:rPr>
                <w:sz w:val="20"/>
              </w:rPr>
              <w:t>9619.00.10</w:t>
            </w:r>
          </w:p>
        </w:tc>
        <w:tc>
          <w:tcPr>
            <w:tcW w:w="6119" w:type="dxa"/>
            <w:gridSpan w:val="2"/>
          </w:tcPr>
          <w:p>
            <w:pPr>
              <w:pStyle w:val="TableParagraph"/>
              <w:spacing w:line="240" w:lineRule="auto" w:before="76"/>
              <w:rPr>
                <w:b/>
                <w:sz w:val="20"/>
              </w:rPr>
            </w:pPr>
            <w:r>
              <w:rPr>
                <w:b/>
                <w:sz w:val="20"/>
              </w:rPr>
              <w:t>Precedent will be deleted as no longer required.</w:t>
            </w:r>
          </w:p>
        </w:tc>
      </w:tr>
      <w:tr>
        <w:trPr>
          <w:trHeight w:val="364" w:hRule="atLeast"/>
        </w:trPr>
        <w:tc>
          <w:tcPr>
            <w:tcW w:w="1276" w:type="dxa"/>
          </w:tcPr>
          <w:p>
            <w:pPr>
              <w:pStyle w:val="TableParagraph"/>
              <w:spacing w:line="240" w:lineRule="auto" w:before="54"/>
              <w:ind w:left="0" w:right="97"/>
              <w:jc w:val="right"/>
              <w:rPr>
                <w:sz w:val="20"/>
              </w:rPr>
            </w:pPr>
            <w:r>
              <w:rPr>
                <w:sz w:val="20"/>
              </w:rPr>
              <w:t>20136000</w:t>
            </w:r>
          </w:p>
        </w:tc>
        <w:tc>
          <w:tcPr>
            <w:tcW w:w="1260" w:type="dxa"/>
          </w:tcPr>
          <w:p>
            <w:pPr>
              <w:pStyle w:val="TableParagraph"/>
              <w:spacing w:line="240" w:lineRule="auto" w:before="54"/>
              <w:ind w:left="86" w:right="119"/>
              <w:jc w:val="center"/>
              <w:rPr>
                <w:sz w:val="20"/>
              </w:rPr>
            </w:pPr>
            <w:r>
              <w:rPr>
                <w:sz w:val="20"/>
              </w:rPr>
              <w:t>8714.19.90</w:t>
            </w:r>
          </w:p>
        </w:tc>
        <w:tc>
          <w:tcPr>
            <w:tcW w:w="1440" w:type="dxa"/>
          </w:tcPr>
          <w:p>
            <w:pPr>
              <w:pStyle w:val="TableParagraph"/>
              <w:spacing w:line="240" w:lineRule="auto" w:before="54"/>
              <w:ind w:left="106"/>
              <w:rPr>
                <w:sz w:val="20"/>
              </w:rPr>
            </w:pPr>
            <w:r>
              <w:rPr>
                <w:sz w:val="20"/>
              </w:rPr>
              <w:t>8714.10.90</w:t>
            </w:r>
          </w:p>
        </w:tc>
        <w:tc>
          <w:tcPr>
            <w:tcW w:w="6119" w:type="dxa"/>
            <w:gridSpan w:val="2"/>
          </w:tcPr>
          <w:p>
            <w:pPr>
              <w:pStyle w:val="TableParagraph"/>
              <w:spacing w:line="240" w:lineRule="auto" w:before="75"/>
              <w:rPr>
                <w:sz w:val="20"/>
              </w:rPr>
            </w:pPr>
            <w:r>
              <w:rPr>
                <w:sz w:val="20"/>
              </w:rPr>
              <w:t>No wording change required</w:t>
            </w:r>
          </w:p>
        </w:tc>
      </w:tr>
      <w:tr>
        <w:trPr>
          <w:trHeight w:val="2433" w:hRule="atLeast"/>
        </w:trPr>
        <w:tc>
          <w:tcPr>
            <w:tcW w:w="1276" w:type="dxa"/>
          </w:tcPr>
          <w:p>
            <w:pPr>
              <w:pStyle w:val="TableParagraph"/>
              <w:spacing w:line="240" w:lineRule="auto" w:before="54"/>
              <w:ind w:left="0" w:right="97"/>
              <w:jc w:val="right"/>
              <w:rPr>
                <w:sz w:val="20"/>
              </w:rPr>
            </w:pPr>
            <w:r>
              <w:rPr>
                <w:sz w:val="20"/>
              </w:rPr>
              <w:t>19589000</w:t>
            </w:r>
          </w:p>
        </w:tc>
        <w:tc>
          <w:tcPr>
            <w:tcW w:w="1260" w:type="dxa"/>
          </w:tcPr>
          <w:p>
            <w:pPr>
              <w:pStyle w:val="TableParagraph"/>
              <w:spacing w:line="240" w:lineRule="auto" w:before="54"/>
              <w:ind w:left="86" w:right="119"/>
              <w:jc w:val="center"/>
              <w:rPr>
                <w:sz w:val="20"/>
              </w:rPr>
            </w:pPr>
            <w:r>
              <w:rPr>
                <w:sz w:val="20"/>
              </w:rPr>
              <w:t>9608.39.00</w:t>
            </w:r>
          </w:p>
        </w:tc>
        <w:tc>
          <w:tcPr>
            <w:tcW w:w="1440" w:type="dxa"/>
          </w:tcPr>
          <w:p>
            <w:pPr>
              <w:pStyle w:val="TableParagraph"/>
              <w:spacing w:line="240" w:lineRule="auto" w:before="54"/>
              <w:ind w:left="106"/>
              <w:rPr>
                <w:sz w:val="20"/>
              </w:rPr>
            </w:pPr>
            <w:r>
              <w:rPr>
                <w:sz w:val="20"/>
              </w:rPr>
              <w:t>9608.30.90</w:t>
            </w:r>
          </w:p>
        </w:tc>
        <w:tc>
          <w:tcPr>
            <w:tcW w:w="3104" w:type="dxa"/>
          </w:tcPr>
          <w:p>
            <w:pPr>
              <w:pStyle w:val="TableParagraph"/>
              <w:spacing w:line="240" w:lineRule="auto" w:before="75"/>
              <w:ind w:right="116"/>
              <w:rPr>
                <w:sz w:val="20"/>
              </w:rPr>
            </w:pPr>
            <w:r>
              <w:rPr>
                <w:sz w:val="20"/>
              </w:rPr>
              <w:t>The set cannot be classified to 9608.50 as it does not contain two or more articles of the preceding subheadings. Goods are classified under IR 3(b), </w:t>
            </w:r>
            <w:r>
              <w:rPr>
                <w:spacing w:val="-4"/>
                <w:sz w:val="20"/>
              </w:rPr>
              <w:t>with </w:t>
            </w:r>
            <w:r>
              <w:rPr>
                <w:sz w:val="20"/>
              </w:rPr>
              <w:t>the fountain pen identified as the component that provides the essential</w:t>
            </w:r>
            <w:r>
              <w:rPr>
                <w:spacing w:val="-2"/>
                <w:sz w:val="20"/>
              </w:rPr>
              <w:t> </w:t>
            </w:r>
            <w:r>
              <w:rPr>
                <w:sz w:val="20"/>
              </w:rPr>
              <w:t>character.</w:t>
            </w:r>
          </w:p>
          <w:p>
            <w:pPr>
              <w:pStyle w:val="TableParagraph"/>
              <w:spacing w:line="240" w:lineRule="auto"/>
              <w:ind w:right="488"/>
              <w:rPr>
                <w:sz w:val="20"/>
              </w:rPr>
            </w:pPr>
            <w:r>
              <w:rPr>
                <w:sz w:val="20"/>
              </w:rPr>
              <w:t>Classification of the set is to 9608.39.</w:t>
            </w:r>
          </w:p>
        </w:tc>
        <w:tc>
          <w:tcPr>
            <w:tcW w:w="3015" w:type="dxa"/>
          </w:tcPr>
          <w:p>
            <w:pPr>
              <w:pStyle w:val="TableParagraph"/>
              <w:spacing w:line="240" w:lineRule="auto" w:before="75"/>
              <w:ind w:right="87"/>
              <w:rPr>
                <w:sz w:val="20"/>
              </w:rPr>
            </w:pPr>
            <w:r>
              <w:rPr>
                <w:sz w:val="20"/>
              </w:rPr>
              <w:t>The set cannot be classified to 9608.50 as it does not contain two or more articles of the preceding subheadings. Goods are classified under IR 3(b), with the fountain pen identified as the component that provides the essential character.</w:t>
            </w:r>
          </w:p>
          <w:p>
            <w:pPr>
              <w:pStyle w:val="TableParagraph"/>
              <w:spacing w:line="240" w:lineRule="auto"/>
              <w:ind w:right="399"/>
              <w:rPr>
                <w:sz w:val="20"/>
              </w:rPr>
            </w:pPr>
            <w:r>
              <w:rPr>
                <w:sz w:val="20"/>
              </w:rPr>
              <w:t>Classification of the set is to 9608.30.90</w:t>
            </w:r>
          </w:p>
        </w:tc>
      </w:tr>
    </w:tbl>
    <w:p>
      <w:pPr>
        <w:spacing w:after="0" w:line="240" w:lineRule="auto"/>
        <w:rPr>
          <w:sz w:val="20"/>
        </w:rPr>
        <w:sectPr>
          <w:headerReference w:type="default" r:id="rId13"/>
          <w:pgSz w:w="11910" w:h="16840"/>
          <w:pgMar w:header="571" w:footer="0" w:top="780" w:bottom="280" w:left="160" w:right="180"/>
        </w:sectPr>
      </w:pPr>
    </w:p>
    <w:p>
      <w:pPr>
        <w:pStyle w:val="BodyText"/>
      </w:pPr>
    </w:p>
    <w:p>
      <w:pPr>
        <w:pStyle w:val="BodyText"/>
        <w:spacing w:before="6"/>
        <w:rPr>
          <w:sz w:val="29"/>
        </w:rPr>
      </w:pPr>
    </w:p>
    <w:tbl>
      <w:tblPr>
        <w:tblW w:w="0" w:type="auto"/>
        <w:jc w:val="left"/>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130"/>
        <w:gridCol w:w="2131"/>
        <w:gridCol w:w="2131"/>
      </w:tblGrid>
      <w:tr>
        <w:trPr>
          <w:trHeight w:val="735" w:hRule="atLeast"/>
        </w:trPr>
        <w:tc>
          <w:tcPr>
            <w:tcW w:w="2130" w:type="dxa"/>
            <w:shd w:val="clear" w:color="auto" w:fill="F3F3F3"/>
          </w:tcPr>
          <w:p>
            <w:pPr>
              <w:pStyle w:val="TableParagraph"/>
              <w:spacing w:line="240" w:lineRule="auto"/>
              <w:ind w:left="430" w:right="402" w:firstLine="44"/>
              <w:rPr>
                <w:b/>
                <w:sz w:val="20"/>
              </w:rPr>
            </w:pPr>
            <w:r>
              <w:rPr>
                <w:b/>
                <w:sz w:val="20"/>
              </w:rPr>
              <w:t>Present Pre- January 2012</w:t>
            </w:r>
          </w:p>
        </w:tc>
        <w:tc>
          <w:tcPr>
            <w:tcW w:w="2130" w:type="dxa"/>
            <w:shd w:val="clear" w:color="auto" w:fill="F3F3F3"/>
          </w:tcPr>
          <w:p>
            <w:pPr>
              <w:pStyle w:val="TableParagraph"/>
              <w:spacing w:line="228" w:lineRule="exact"/>
              <w:ind w:left="516" w:right="507"/>
              <w:jc w:val="center"/>
              <w:rPr>
                <w:b/>
                <w:sz w:val="20"/>
              </w:rPr>
            </w:pPr>
            <w:r>
              <w:rPr>
                <w:b/>
                <w:sz w:val="20"/>
              </w:rPr>
              <w:t>TA Status</w:t>
            </w:r>
          </w:p>
        </w:tc>
        <w:tc>
          <w:tcPr>
            <w:tcW w:w="2131" w:type="dxa"/>
            <w:shd w:val="clear" w:color="auto" w:fill="F3F3F3"/>
          </w:tcPr>
          <w:p>
            <w:pPr>
              <w:pStyle w:val="TableParagraph"/>
              <w:spacing w:line="240" w:lineRule="auto"/>
              <w:ind w:right="726"/>
              <w:rPr>
                <w:b/>
                <w:sz w:val="20"/>
              </w:rPr>
            </w:pPr>
            <w:r>
              <w:rPr>
                <w:b/>
                <w:sz w:val="20"/>
              </w:rPr>
              <w:t>Present Pre- January 2012</w:t>
            </w:r>
          </w:p>
        </w:tc>
        <w:tc>
          <w:tcPr>
            <w:tcW w:w="2131" w:type="dxa"/>
            <w:shd w:val="clear" w:color="auto" w:fill="F3F3F3"/>
          </w:tcPr>
          <w:p>
            <w:pPr>
              <w:pStyle w:val="TableParagraph"/>
              <w:spacing w:line="228" w:lineRule="exact"/>
              <w:ind w:left="0" w:right="587"/>
              <w:jc w:val="right"/>
              <w:rPr>
                <w:b/>
                <w:sz w:val="20"/>
              </w:rPr>
            </w:pPr>
            <w:r>
              <w:rPr>
                <w:b/>
                <w:sz w:val="20"/>
              </w:rPr>
              <w:t>TA Status</w:t>
            </w:r>
          </w:p>
        </w:tc>
      </w:tr>
      <w:tr>
        <w:trPr>
          <w:trHeight w:val="230" w:hRule="atLeast"/>
        </w:trPr>
        <w:tc>
          <w:tcPr>
            <w:tcW w:w="2130" w:type="dxa"/>
          </w:tcPr>
          <w:p>
            <w:pPr>
              <w:pStyle w:val="TableParagraph"/>
              <w:ind w:left="516" w:right="507"/>
              <w:jc w:val="center"/>
              <w:rPr>
                <w:sz w:val="20"/>
              </w:rPr>
            </w:pPr>
            <w:r>
              <w:rPr>
                <w:sz w:val="20"/>
              </w:rPr>
              <w:t>0306.23.00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5601.10.90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0307.99.00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5801.34.00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0604.99.00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5801.35.90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0910.10.00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6107.11.00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1212.99.00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6107.12.00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1605.10.00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6108.21.00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1605.20.00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6108.22.00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2008.92.00</w:t>
            </w:r>
          </w:p>
        </w:tc>
        <w:tc>
          <w:tcPr>
            <w:tcW w:w="2130" w:type="dxa"/>
          </w:tcPr>
          <w:p>
            <w:pPr>
              <w:pStyle w:val="TableParagraph"/>
              <w:ind w:left="516" w:right="507"/>
              <w:jc w:val="center"/>
              <w:rPr>
                <w:sz w:val="20"/>
              </w:rPr>
            </w:pPr>
            <w:r>
              <w:rPr>
                <w:sz w:val="20"/>
              </w:rPr>
              <w:t>All TAs void</w:t>
            </w:r>
          </w:p>
        </w:tc>
        <w:tc>
          <w:tcPr>
            <w:tcW w:w="2131" w:type="dxa"/>
          </w:tcPr>
          <w:p>
            <w:pPr>
              <w:pStyle w:val="TableParagraph"/>
              <w:ind w:left="544" w:right="535"/>
              <w:jc w:val="center"/>
              <w:rPr>
                <w:sz w:val="20"/>
              </w:rPr>
            </w:pPr>
            <w:r>
              <w:rPr>
                <w:sz w:val="20"/>
              </w:rPr>
              <w:t>6111.30.90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2009.80.00</w:t>
            </w:r>
          </w:p>
        </w:tc>
        <w:tc>
          <w:tcPr>
            <w:tcW w:w="2130" w:type="dxa"/>
          </w:tcPr>
          <w:p>
            <w:pPr>
              <w:pStyle w:val="TableParagraph"/>
              <w:ind w:left="516" w:right="507"/>
              <w:jc w:val="center"/>
              <w:rPr>
                <w:sz w:val="20"/>
              </w:rPr>
            </w:pPr>
            <w:r>
              <w:rPr>
                <w:sz w:val="20"/>
              </w:rPr>
              <w:t>All TAs void</w:t>
            </w:r>
          </w:p>
        </w:tc>
        <w:tc>
          <w:tcPr>
            <w:tcW w:w="2131" w:type="dxa"/>
          </w:tcPr>
          <w:p>
            <w:pPr>
              <w:pStyle w:val="TableParagraph"/>
              <w:ind w:left="544" w:right="535"/>
              <w:jc w:val="center"/>
              <w:rPr>
                <w:sz w:val="20"/>
              </w:rPr>
            </w:pPr>
            <w:r>
              <w:rPr>
                <w:sz w:val="20"/>
              </w:rPr>
              <w:t>6111.90.90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2710.11.69</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6209.20.90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2710.11.70</w:t>
            </w:r>
          </w:p>
        </w:tc>
        <w:tc>
          <w:tcPr>
            <w:tcW w:w="2130" w:type="dxa"/>
          </w:tcPr>
          <w:p>
            <w:pPr>
              <w:pStyle w:val="TableParagraph"/>
              <w:ind w:left="516" w:right="507"/>
              <w:jc w:val="center"/>
              <w:rPr>
                <w:sz w:val="20"/>
              </w:rPr>
            </w:pPr>
            <w:r>
              <w:rPr>
                <w:sz w:val="20"/>
              </w:rPr>
              <w:t>All TAs void</w:t>
            </w:r>
          </w:p>
        </w:tc>
        <w:tc>
          <w:tcPr>
            <w:tcW w:w="2131" w:type="dxa"/>
          </w:tcPr>
          <w:p>
            <w:pPr>
              <w:pStyle w:val="TableParagraph"/>
              <w:ind w:left="544" w:right="535"/>
              <w:jc w:val="center"/>
              <w:rPr>
                <w:sz w:val="20"/>
              </w:rPr>
            </w:pPr>
            <w:r>
              <w:rPr>
                <w:sz w:val="20"/>
              </w:rPr>
              <w:t>6209.30.90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2710.11.90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6406.99.10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2835.39.90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6406.99.20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2842.10.10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6406.99.99</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2849.90.00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6505.90.90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2850.00.00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7615.19.00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2903.69.00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8201.20.00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2937.31.00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8205.80.00</w:t>
            </w:r>
          </w:p>
        </w:tc>
        <w:tc>
          <w:tcPr>
            <w:tcW w:w="2131" w:type="dxa"/>
          </w:tcPr>
          <w:p>
            <w:pPr>
              <w:pStyle w:val="TableParagraph"/>
              <w:spacing w:line="240" w:lineRule="auto"/>
              <w:ind w:left="0"/>
              <w:rPr>
                <w:rFonts w:ascii="Times New Roman"/>
                <w:sz w:val="16"/>
              </w:rPr>
            </w:pPr>
          </w:p>
        </w:tc>
      </w:tr>
      <w:tr>
        <w:trPr>
          <w:trHeight w:val="229" w:hRule="atLeast"/>
        </w:trPr>
        <w:tc>
          <w:tcPr>
            <w:tcW w:w="2130" w:type="dxa"/>
          </w:tcPr>
          <w:p>
            <w:pPr>
              <w:pStyle w:val="TableParagraph"/>
              <w:ind w:left="516" w:right="507"/>
              <w:jc w:val="center"/>
              <w:rPr>
                <w:sz w:val="20"/>
              </w:rPr>
            </w:pPr>
            <w:r>
              <w:rPr>
                <w:sz w:val="20"/>
              </w:rPr>
              <w:t>2937.90.00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8452.40.00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3002.10.00</w:t>
            </w:r>
          </w:p>
        </w:tc>
        <w:tc>
          <w:tcPr>
            <w:tcW w:w="2130" w:type="dxa"/>
          </w:tcPr>
          <w:p>
            <w:pPr>
              <w:pStyle w:val="TableParagraph"/>
              <w:ind w:left="516" w:right="507"/>
              <w:jc w:val="center"/>
              <w:rPr>
                <w:sz w:val="20"/>
              </w:rPr>
            </w:pPr>
            <w:r>
              <w:rPr>
                <w:sz w:val="20"/>
              </w:rPr>
              <w:t>All TAs void</w:t>
            </w:r>
          </w:p>
        </w:tc>
        <w:tc>
          <w:tcPr>
            <w:tcW w:w="2131" w:type="dxa"/>
          </w:tcPr>
          <w:p>
            <w:pPr>
              <w:pStyle w:val="TableParagraph"/>
              <w:ind w:left="544" w:right="535"/>
              <w:jc w:val="center"/>
              <w:rPr>
                <w:sz w:val="20"/>
              </w:rPr>
            </w:pPr>
            <w:r>
              <w:rPr>
                <w:sz w:val="20"/>
              </w:rPr>
              <w:t>8456.90.00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3002.90.00</w:t>
            </w:r>
          </w:p>
        </w:tc>
        <w:tc>
          <w:tcPr>
            <w:tcW w:w="2130" w:type="dxa"/>
          </w:tcPr>
          <w:p>
            <w:pPr>
              <w:pStyle w:val="TableParagraph"/>
              <w:ind w:left="516" w:right="507"/>
              <w:jc w:val="center"/>
              <w:rPr>
                <w:sz w:val="20"/>
              </w:rPr>
            </w:pPr>
            <w:r>
              <w:rPr>
                <w:sz w:val="20"/>
              </w:rPr>
              <w:t>All TAs void</w:t>
            </w:r>
          </w:p>
        </w:tc>
        <w:tc>
          <w:tcPr>
            <w:tcW w:w="2131" w:type="dxa"/>
          </w:tcPr>
          <w:p>
            <w:pPr>
              <w:pStyle w:val="TableParagraph"/>
              <w:ind w:left="544" w:right="535"/>
              <w:jc w:val="center"/>
              <w:rPr>
                <w:sz w:val="20"/>
              </w:rPr>
            </w:pPr>
            <w:r>
              <w:rPr>
                <w:sz w:val="20"/>
              </w:rPr>
              <w:t>8466.93.00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3004.90.00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8479.89.90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3005.10.00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8507.80.00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3005.90.90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8523.40.00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3201.90.00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8714.11.00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3824.90.20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8714.19.10</w:t>
            </w:r>
          </w:p>
        </w:tc>
        <w:tc>
          <w:tcPr>
            <w:tcW w:w="2131" w:type="dxa"/>
          </w:tcPr>
          <w:p>
            <w:pPr>
              <w:pStyle w:val="TableParagraph"/>
              <w:spacing w:line="240" w:lineRule="auto"/>
              <w:ind w:left="0"/>
              <w:rPr>
                <w:rFonts w:ascii="Times New Roman"/>
                <w:sz w:val="16"/>
              </w:rPr>
            </w:pPr>
          </w:p>
        </w:tc>
      </w:tr>
      <w:tr>
        <w:trPr>
          <w:trHeight w:val="230" w:hRule="atLeast"/>
        </w:trPr>
        <w:tc>
          <w:tcPr>
            <w:tcW w:w="2130" w:type="dxa"/>
          </w:tcPr>
          <w:p>
            <w:pPr>
              <w:pStyle w:val="TableParagraph"/>
              <w:ind w:left="516" w:right="507"/>
              <w:jc w:val="center"/>
              <w:rPr>
                <w:sz w:val="20"/>
              </w:rPr>
            </w:pPr>
            <w:r>
              <w:rPr>
                <w:sz w:val="20"/>
              </w:rPr>
              <w:t>3913.90.00</w:t>
            </w:r>
          </w:p>
        </w:tc>
        <w:tc>
          <w:tcPr>
            <w:tcW w:w="2130" w:type="dxa"/>
          </w:tcPr>
          <w:p>
            <w:pPr>
              <w:pStyle w:val="TableParagraph"/>
              <w:ind w:left="515" w:right="507"/>
              <w:jc w:val="center"/>
              <w:rPr>
                <w:sz w:val="20"/>
              </w:rPr>
            </w:pPr>
            <w:r>
              <w:rPr>
                <w:sz w:val="20"/>
              </w:rPr>
              <w:t>All TAs void</w:t>
            </w:r>
          </w:p>
        </w:tc>
        <w:tc>
          <w:tcPr>
            <w:tcW w:w="2131" w:type="dxa"/>
          </w:tcPr>
          <w:p>
            <w:pPr>
              <w:pStyle w:val="TableParagraph"/>
              <w:ind w:left="544" w:right="535"/>
              <w:jc w:val="center"/>
              <w:rPr>
                <w:sz w:val="20"/>
              </w:rPr>
            </w:pPr>
            <w:r>
              <w:rPr>
                <w:sz w:val="20"/>
              </w:rPr>
              <w:t>8714.19.90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4818.40.90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9504.10.00</w:t>
            </w:r>
          </w:p>
        </w:tc>
        <w:tc>
          <w:tcPr>
            <w:tcW w:w="2131" w:type="dxa"/>
          </w:tcPr>
          <w:p>
            <w:pPr>
              <w:pStyle w:val="TableParagraph"/>
              <w:ind w:left="0" w:right="524"/>
              <w:jc w:val="right"/>
              <w:rPr>
                <w:sz w:val="20"/>
              </w:rPr>
            </w:pPr>
            <w:r>
              <w:rPr>
                <w:sz w:val="20"/>
              </w:rPr>
              <w:t>All TAs void</w:t>
            </w:r>
          </w:p>
        </w:tc>
      </w:tr>
      <w:tr>
        <w:trPr>
          <w:trHeight w:val="230" w:hRule="atLeast"/>
        </w:trPr>
        <w:tc>
          <w:tcPr>
            <w:tcW w:w="2130" w:type="dxa"/>
          </w:tcPr>
          <w:p>
            <w:pPr>
              <w:pStyle w:val="TableParagraph"/>
              <w:ind w:left="516" w:right="507"/>
              <w:jc w:val="center"/>
              <w:rPr>
                <w:sz w:val="20"/>
              </w:rPr>
            </w:pPr>
            <w:r>
              <w:rPr>
                <w:sz w:val="20"/>
              </w:rPr>
              <w:t>5601.10.10</w:t>
            </w:r>
          </w:p>
        </w:tc>
        <w:tc>
          <w:tcPr>
            <w:tcW w:w="2130" w:type="dxa"/>
          </w:tcPr>
          <w:p>
            <w:pPr>
              <w:pStyle w:val="TableParagraph"/>
              <w:spacing w:line="240" w:lineRule="auto"/>
              <w:ind w:left="0"/>
              <w:rPr>
                <w:rFonts w:ascii="Times New Roman"/>
                <w:sz w:val="16"/>
              </w:rPr>
            </w:pPr>
          </w:p>
        </w:tc>
        <w:tc>
          <w:tcPr>
            <w:tcW w:w="2131" w:type="dxa"/>
          </w:tcPr>
          <w:p>
            <w:pPr>
              <w:pStyle w:val="TableParagraph"/>
              <w:ind w:left="543" w:right="535"/>
              <w:jc w:val="center"/>
              <w:rPr>
                <w:sz w:val="20"/>
              </w:rPr>
            </w:pPr>
            <w:r>
              <w:rPr>
                <w:sz w:val="20"/>
              </w:rPr>
              <w:t>9504.90.90</w:t>
            </w:r>
          </w:p>
        </w:tc>
        <w:tc>
          <w:tcPr>
            <w:tcW w:w="2131" w:type="dxa"/>
          </w:tcPr>
          <w:p>
            <w:pPr>
              <w:pStyle w:val="TableParagraph"/>
              <w:ind w:left="0" w:right="524"/>
              <w:jc w:val="right"/>
              <w:rPr>
                <w:sz w:val="20"/>
              </w:rPr>
            </w:pPr>
            <w:r>
              <w:rPr>
                <w:sz w:val="20"/>
              </w:rPr>
              <w:t>All TAs void</w:t>
            </w:r>
          </w:p>
        </w:tc>
      </w:tr>
    </w:tbl>
    <w:p>
      <w:pPr>
        <w:pStyle w:val="BodyText"/>
        <w:spacing w:before="7"/>
        <w:rPr>
          <w:sz w:val="11"/>
        </w:rPr>
      </w:pPr>
    </w:p>
    <w:p>
      <w:pPr>
        <w:pStyle w:val="BodyText"/>
        <w:spacing w:before="94"/>
        <w:ind w:left="919" w:right="1104"/>
      </w:pPr>
      <w:r>
        <w:rPr>
          <w:u w:val="single"/>
        </w:rPr>
        <w:t>Note</w:t>
      </w:r>
      <w:r>
        <w:rPr/>
        <w:t>: Where the TA Status column is blank it indicates that some but not all TAs from this classification will be voided.</w:t>
      </w:r>
    </w:p>
    <w:sectPr>
      <w:headerReference w:type="default" r:id="rId14"/>
      <w:pgSz w:w="11910" w:h="16840"/>
      <w:pgMar w:header="571" w:footer="0" w:top="780" w:bottom="280" w:left="16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5.320007pt;margin-top:55.868858pt;width:17.350pt;height:13.2pt;mso-position-horizontal-relative:page;mso-position-vertical-relative:page;z-index:-16689664" type="#_x0000_t202" filled="false" stroked="false">
          <v:textbox inset="0,0,0,0">
            <w:txbxContent>
              <w:p>
                <w:pPr>
                  <w:pStyle w:val="BodyText"/>
                  <w:spacing w:before="14"/>
                  <w:ind w:left="20"/>
                </w:pPr>
                <w:r>
                  <w:rPr/>
                  <w:t>-</w:t>
                </w:r>
                <w:r>
                  <w:rPr/>
                  <w:fldChar w:fldCharType="begin"/>
                </w:r>
                <w:r>
                  <w:rPr/>
                  <w:instrText> PAGE </w:instrText>
                </w:r>
                <w:r>
                  <w:rPr/>
                  <w:fldChar w:fldCharType="separate"/>
                </w:r>
                <w:r>
                  <w:rPr/>
                  <w:t>2</w:t>
                </w:r>
                <w:r>
                  <w:rPr/>
                  <w:fldChar w:fldCharType="end"/>
                </w:r>
                <w:r>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08.319214pt;margin-top:27.548861pt;width:62.1pt;height:13.2pt;mso-position-horizontal-relative:page;mso-position-vertical-relative:page;z-index:-16689152" type="#_x0000_t202" filled="false" stroked="false">
          <v:textbox inset="0,0,0,0">
            <w:txbxContent>
              <w:p>
                <w:pPr>
                  <w:pStyle w:val="BodyText"/>
                  <w:spacing w:before="14"/>
                  <w:ind w:left="20"/>
                </w:pPr>
                <w:r>
                  <w:rPr/>
                  <w:t>Attachment 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3.850372pt;margin-top:27.548861pt;width:86.45pt;height:13.2pt;mso-position-horizontal-relative:page;mso-position-vertical-relative:page;z-index:-16688640" type="#_x0000_t202" filled="false" stroked="false">
          <v:textbox inset="0,0,0,0">
            <w:txbxContent>
              <w:p>
                <w:pPr>
                  <w:pStyle w:val="BodyText"/>
                  <w:spacing w:before="14"/>
                  <w:ind w:left="20"/>
                </w:pPr>
                <w:r>
                  <w:rPr/>
                  <w:t>Attachment A cont.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08.319214pt;margin-top:27.548861pt;width:62.1pt;height:13.2pt;mso-position-horizontal-relative:page;mso-position-vertical-relative:page;z-index:-16688128" type="#_x0000_t202" filled="false" stroked="false">
          <v:textbox inset="0,0,0,0">
            <w:txbxContent>
              <w:p>
                <w:pPr>
                  <w:pStyle w:val="BodyText"/>
                  <w:spacing w:before="14"/>
                  <w:ind w:left="20"/>
                </w:pPr>
                <w:r>
                  <w:rPr/>
                  <w:t>Attachment B</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3.850372pt;margin-top:27.548861pt;width:86.45pt;height:13.2pt;mso-position-horizontal-relative:page;mso-position-vertical-relative:page;z-index:-16687616" type="#_x0000_t202" filled="false" stroked="false">
          <v:textbox inset="0,0,0,0">
            <w:txbxContent>
              <w:p>
                <w:pPr>
                  <w:pStyle w:val="BodyText"/>
                  <w:spacing w:before="14"/>
                  <w:ind w:left="20"/>
                </w:pPr>
                <w:r>
                  <w:rPr/>
                  <w:t>Attachment B cont.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07.718018pt;margin-top:27.548861pt;width:62.6pt;height:13.2pt;mso-position-horizontal-relative:page;mso-position-vertical-relative:page;z-index:-16687104" type="#_x0000_t202" filled="false" stroked="false">
          <v:textbox inset="0,0,0,0">
            <w:txbxContent>
              <w:p>
                <w:pPr>
                  <w:pStyle w:val="BodyText"/>
                  <w:spacing w:before="14"/>
                  <w:ind w:left="20"/>
                </w:pPr>
                <w:r>
                  <w:rPr/>
                  <w:t>Attachment C</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79" w:hanging="361"/>
      </w:pPr>
      <w:rPr>
        <w:rFonts w:hint="default" w:ascii="Arial" w:hAnsi="Arial" w:eastAsia="Arial" w:cs="Arial"/>
        <w:w w:val="131"/>
        <w:sz w:val="20"/>
        <w:szCs w:val="20"/>
      </w:rPr>
    </w:lvl>
    <w:lvl w:ilvl="1">
      <w:start w:val="0"/>
      <w:numFmt w:val="bullet"/>
      <w:lvlText w:val="•"/>
      <w:lvlJc w:val="left"/>
      <w:pPr>
        <w:ind w:left="2308" w:hanging="361"/>
      </w:pPr>
      <w:rPr>
        <w:rFonts w:hint="default"/>
      </w:rPr>
    </w:lvl>
    <w:lvl w:ilvl="2">
      <w:start w:val="0"/>
      <w:numFmt w:val="bullet"/>
      <w:lvlText w:val="•"/>
      <w:lvlJc w:val="left"/>
      <w:pPr>
        <w:ind w:left="3336" w:hanging="361"/>
      </w:pPr>
      <w:rPr>
        <w:rFonts w:hint="default"/>
      </w:rPr>
    </w:lvl>
    <w:lvl w:ilvl="3">
      <w:start w:val="0"/>
      <w:numFmt w:val="bullet"/>
      <w:lvlText w:val="•"/>
      <w:lvlJc w:val="left"/>
      <w:pPr>
        <w:ind w:left="4365" w:hanging="361"/>
      </w:pPr>
      <w:rPr>
        <w:rFonts w:hint="default"/>
      </w:rPr>
    </w:lvl>
    <w:lvl w:ilvl="4">
      <w:start w:val="0"/>
      <w:numFmt w:val="bullet"/>
      <w:lvlText w:val="•"/>
      <w:lvlJc w:val="left"/>
      <w:pPr>
        <w:ind w:left="5393" w:hanging="361"/>
      </w:pPr>
      <w:rPr>
        <w:rFonts w:hint="default"/>
      </w:rPr>
    </w:lvl>
    <w:lvl w:ilvl="5">
      <w:start w:val="0"/>
      <w:numFmt w:val="bullet"/>
      <w:lvlText w:val="•"/>
      <w:lvlJc w:val="left"/>
      <w:pPr>
        <w:ind w:left="6422" w:hanging="361"/>
      </w:pPr>
      <w:rPr>
        <w:rFonts w:hint="default"/>
      </w:rPr>
    </w:lvl>
    <w:lvl w:ilvl="6">
      <w:start w:val="0"/>
      <w:numFmt w:val="bullet"/>
      <w:lvlText w:val="•"/>
      <w:lvlJc w:val="left"/>
      <w:pPr>
        <w:ind w:left="7450" w:hanging="361"/>
      </w:pPr>
      <w:rPr>
        <w:rFonts w:hint="default"/>
      </w:rPr>
    </w:lvl>
    <w:lvl w:ilvl="7">
      <w:start w:val="0"/>
      <w:numFmt w:val="bullet"/>
      <w:lvlText w:val="•"/>
      <w:lvlJc w:val="left"/>
      <w:pPr>
        <w:ind w:left="8479" w:hanging="361"/>
      </w:pPr>
      <w:rPr>
        <w:rFonts w:hint="default"/>
      </w:rPr>
    </w:lvl>
    <w:lvl w:ilvl="8">
      <w:start w:val="0"/>
      <w:numFmt w:val="bullet"/>
      <w:lvlText w:val="•"/>
      <w:lvlJc w:val="left"/>
      <w:pPr>
        <w:ind w:left="95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920"/>
      <w:outlineLvl w:val="1"/>
    </w:pPr>
    <w:rPr>
      <w:rFonts w:ascii="Arial" w:hAnsi="Arial" w:eastAsia="Arial" w:cs="Arial"/>
      <w:b/>
      <w:bCs/>
      <w:sz w:val="24"/>
      <w:szCs w:val="24"/>
    </w:rPr>
  </w:style>
  <w:style w:styleId="Heading2" w:type="paragraph">
    <w:name w:val="Heading 2"/>
    <w:basedOn w:val="Normal"/>
    <w:uiPriority w:val="1"/>
    <w:qFormat/>
    <w:pPr>
      <w:ind w:left="919"/>
      <w:outlineLvl w:val="2"/>
    </w:pPr>
    <w:rPr>
      <w:rFonts w:ascii="Arial" w:hAnsi="Arial" w:eastAsia="Arial" w:cs="Arial"/>
      <w:b/>
      <w:bCs/>
      <w:sz w:val="20"/>
      <w:szCs w:val="20"/>
    </w:rPr>
  </w:style>
  <w:style w:styleId="Title" w:type="paragraph">
    <w:name w:val="Title"/>
    <w:basedOn w:val="Normal"/>
    <w:uiPriority w:val="1"/>
    <w:qFormat/>
    <w:pPr>
      <w:spacing w:before="22"/>
      <w:ind w:left="4328" w:right="2266" w:hanging="2231"/>
    </w:pPr>
    <w:rPr>
      <w:rFonts w:ascii="Arial" w:hAnsi="Arial" w:eastAsia="Arial" w:cs="Arial"/>
      <w:b/>
      <w:bCs/>
      <w:sz w:val="28"/>
      <w:szCs w:val="28"/>
    </w:rPr>
  </w:style>
  <w:style w:styleId="ListParagraph" w:type="paragraph">
    <w:name w:val="List Paragraph"/>
    <w:basedOn w:val="Normal"/>
    <w:uiPriority w:val="1"/>
    <w:qFormat/>
    <w:pPr>
      <w:ind w:left="1279" w:right="1112" w:hanging="360"/>
    </w:pPr>
    <w:rPr>
      <w:rFonts w:ascii="Arial" w:hAnsi="Arial" w:eastAsia="Arial" w:cs="Arial"/>
    </w:rPr>
  </w:style>
  <w:style w:styleId="TableParagraph" w:type="paragraph">
    <w:name w:val="Table Paragraph"/>
    <w:basedOn w:val="Normal"/>
    <w:uiPriority w:val="1"/>
    <w:qFormat/>
    <w:pPr>
      <w:spacing w:line="210" w:lineRule="exact"/>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http://www.customs.gov.au/" TargetMode="External"/><Relationship Id="rId8" Type="http://schemas.openxmlformats.org/officeDocument/2006/relationships/hyperlink" Target="mailto:TARLEG@customs.gov.au" TargetMode="External"/><Relationship Id="rId9" Type="http://schemas.openxmlformats.org/officeDocument/2006/relationships/hyperlink" Target="mailto:international.trade@abs.gov.au"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Blackaby</dc:creator>
  <dc:title>AUSTRALIAN CUSTOMS AND BORDER PROTECTION   NOTICE NO</dc:title>
  <dcterms:created xsi:type="dcterms:W3CDTF">2020-12-09T22:56:53Z</dcterms:created>
  <dcterms:modified xsi:type="dcterms:W3CDTF">2020-12-09T22:56:53Z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Creator">
    <vt:lpwstr>Acrobat PDFMaker 8.1 for Word</vt:lpwstr>
  </property>
  <property fmtid="{D5CDD505-2E9C-101B-9397-08002B2CF9AE}" pid="4" name="LastSaved">
    <vt:filetime>2020-12-09T00:00:00Z</vt:filetime>
  </property>
</Properties>
</file>