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Heading1"/>
        <w:spacing w:before="220"/>
        <w:ind w:right="1243"/>
      </w:pPr>
      <w:r>
        <w:rPr/>
        <w:t>AUSTRALIAN CUSTOMS AND BORDER PROTECTION NOTICE NO.</w:t>
      </w:r>
    </w:p>
    <w:p>
      <w:pPr>
        <w:spacing w:line="328" w:lineRule="exact" w:before="0" w:after="16"/>
        <w:ind w:left="1379" w:right="1239" w:firstLine="0"/>
        <w:jc w:val="center"/>
        <w:rPr>
          <w:b/>
          <w:sz w:val="28"/>
        </w:rPr>
      </w:pPr>
      <w:r>
        <w:rPr>
          <w:b/>
          <w:sz w:val="28"/>
        </w:rPr>
        <w:t>2011/58</w:t>
      </w:r>
    </w:p>
    <w:p>
      <w:pPr>
        <w:pStyle w:val="BodyText"/>
        <w:spacing w:line="20" w:lineRule="exact"/>
        <w:ind w:left="1231"/>
        <w:rPr>
          <w:sz w:val="2"/>
        </w:rPr>
      </w:pPr>
      <w:r>
        <w:rPr>
          <w:sz w:val="2"/>
        </w:rPr>
        <w:pict>
          <v:group style="width:461.9pt;height:.75pt;mso-position-horizontal-relative:char;mso-position-vertical-relative:line" coordorigin="0,0" coordsize="9238,15">
            <v:rect style="position:absolute;left:0;top:0;width:9238;height:15" filled="true" fillcolor="#000000" stroked="false">
              <v:fill type="solid"/>
            </v:rect>
          </v:group>
        </w:pict>
      </w:r>
      <w:r>
        <w:rPr>
          <w:sz w:val="2"/>
        </w:rPr>
      </w:r>
    </w:p>
    <w:p>
      <w:pPr>
        <w:pStyle w:val="BodyText"/>
        <w:spacing w:before="2"/>
        <w:rPr>
          <w:b/>
          <w:sz w:val="18"/>
        </w:rPr>
      </w:pPr>
    </w:p>
    <w:p>
      <w:pPr>
        <w:pStyle w:val="Heading1"/>
        <w:spacing w:line="232" w:lineRule="auto" w:before="57"/>
        <w:ind w:left="1259" w:right="1429"/>
        <w:jc w:val="left"/>
      </w:pPr>
      <w:r>
        <w:rPr/>
        <w:t>Movement of goods under Customs control that has not been fully reported – revised 5 December 2011</w:t>
      </w:r>
      <w:r>
        <w:rPr>
          <w:vertAlign w:val="superscript"/>
        </w:rPr>
        <w:t>1</w:t>
      </w:r>
    </w:p>
    <w:p>
      <w:pPr>
        <w:pStyle w:val="Heading2"/>
        <w:spacing w:before="218"/>
      </w:pPr>
      <w:r>
        <w:rPr/>
        <w:t>Purpose:</w:t>
      </w:r>
    </w:p>
    <w:p>
      <w:pPr>
        <w:pStyle w:val="BodyText"/>
        <w:rPr>
          <w:b/>
          <w:sz w:val="19"/>
        </w:rPr>
      </w:pPr>
    </w:p>
    <w:p>
      <w:pPr>
        <w:pStyle w:val="BodyText"/>
        <w:ind w:left="1259"/>
      </w:pPr>
      <w:r>
        <w:rPr/>
        <w:t>The purpose of this notice is to:</w:t>
      </w:r>
    </w:p>
    <w:p>
      <w:pPr>
        <w:pStyle w:val="BodyText"/>
        <w:spacing w:before="5"/>
      </w:pPr>
    </w:p>
    <w:p>
      <w:pPr>
        <w:pStyle w:val="ListParagraph"/>
        <w:numPr>
          <w:ilvl w:val="0"/>
          <w:numId w:val="1"/>
        </w:numPr>
        <w:tabs>
          <w:tab w:pos="1979" w:val="left" w:leader="none"/>
          <w:tab w:pos="1980" w:val="left" w:leader="none"/>
        </w:tabs>
        <w:spacing w:line="240" w:lineRule="auto" w:before="0" w:after="0"/>
        <w:ind w:left="1980" w:right="0" w:hanging="361"/>
        <w:jc w:val="left"/>
        <w:rPr>
          <w:sz w:val="20"/>
        </w:rPr>
      </w:pPr>
      <w:r>
        <w:rPr>
          <w:sz w:val="20"/>
        </w:rPr>
        <w:t>increase awareness and emphasise the importance of timely and accurate reporting;</w:t>
      </w:r>
      <w:r>
        <w:rPr>
          <w:spacing w:val="-12"/>
          <w:sz w:val="20"/>
        </w:rPr>
        <w:t> </w:t>
      </w:r>
      <w:r>
        <w:rPr>
          <w:sz w:val="20"/>
        </w:rPr>
        <w:t>and</w:t>
      </w:r>
    </w:p>
    <w:p>
      <w:pPr>
        <w:pStyle w:val="BodyText"/>
        <w:spacing w:before="4"/>
      </w:pPr>
    </w:p>
    <w:p>
      <w:pPr>
        <w:pStyle w:val="ListParagraph"/>
        <w:numPr>
          <w:ilvl w:val="0"/>
          <w:numId w:val="1"/>
        </w:numPr>
        <w:tabs>
          <w:tab w:pos="1979" w:val="left" w:leader="none"/>
          <w:tab w:pos="1980" w:val="left" w:leader="none"/>
        </w:tabs>
        <w:spacing w:line="218" w:lineRule="auto" w:before="0" w:after="0"/>
        <w:ind w:left="1979" w:right="1426" w:hanging="360"/>
        <w:jc w:val="left"/>
        <w:rPr>
          <w:sz w:val="20"/>
        </w:rPr>
      </w:pPr>
      <w:r>
        <w:rPr>
          <w:sz w:val="20"/>
        </w:rPr>
        <w:t>advise that Customs and Border Protection will be undertaking additional activities to closely monitor cargo that has not been reported within legislated</w:t>
      </w:r>
      <w:r>
        <w:rPr>
          <w:spacing w:val="-6"/>
          <w:sz w:val="20"/>
        </w:rPr>
        <w:t> </w:t>
      </w:r>
      <w:r>
        <w:rPr>
          <w:sz w:val="20"/>
        </w:rPr>
        <w:t>timeframes.</w:t>
      </w:r>
    </w:p>
    <w:p>
      <w:pPr>
        <w:pStyle w:val="BodyText"/>
        <w:spacing w:before="3"/>
        <w:rPr>
          <w:sz w:val="19"/>
        </w:rPr>
      </w:pPr>
    </w:p>
    <w:p>
      <w:pPr>
        <w:pStyle w:val="Heading2"/>
      </w:pPr>
      <w:r>
        <w:rPr/>
        <w:t>Background</w:t>
      </w:r>
    </w:p>
    <w:p>
      <w:pPr>
        <w:pStyle w:val="BodyText"/>
        <w:spacing w:before="4"/>
        <w:rPr>
          <w:b/>
          <w:sz w:val="19"/>
        </w:rPr>
      </w:pPr>
    </w:p>
    <w:p>
      <w:pPr>
        <w:pStyle w:val="BodyText"/>
        <w:spacing w:line="235" w:lineRule="auto"/>
        <w:ind w:left="1259" w:right="1353"/>
      </w:pPr>
      <w:r>
        <w:rPr/>
        <w:t>Customs and Border Protection applies an intelligence-led, risk based approach to protect Australia’s border. This means that we facilitate legitimate trade and travel and reduce risk to the border by focusing our resources where they are needed most. Our approach draws on early and accurate reporting by industry, strategic and operational intelligence and assurance programs and campaigns designed to detect, deter and disrupt illicit activity.</w:t>
      </w:r>
    </w:p>
    <w:p>
      <w:pPr>
        <w:pStyle w:val="BodyText"/>
        <w:spacing w:before="5"/>
        <w:rPr>
          <w:sz w:val="19"/>
        </w:rPr>
      </w:pPr>
    </w:p>
    <w:p>
      <w:pPr>
        <w:pStyle w:val="BodyText"/>
        <w:spacing w:line="235" w:lineRule="auto"/>
        <w:ind w:left="1259" w:right="1121"/>
      </w:pPr>
      <w:r>
        <w:rPr/>
        <w:t>Accurate and timely lodgement of cargo reports and import declarations - or other relevant declarations such as the Self Assessed Clearance (SAC), are critical in enabling Customs and Border Protection to complete risk assessment and intervention activities before cargo moves into the Australian community.</w:t>
      </w:r>
    </w:p>
    <w:p>
      <w:pPr>
        <w:pStyle w:val="BodyText"/>
        <w:spacing w:before="5"/>
        <w:rPr>
          <w:sz w:val="19"/>
        </w:rPr>
      </w:pPr>
    </w:p>
    <w:p>
      <w:pPr>
        <w:pStyle w:val="BodyText"/>
        <w:spacing w:line="235" w:lineRule="auto"/>
        <w:ind w:left="1259" w:right="1186"/>
      </w:pPr>
      <w:r>
        <w:rPr/>
        <w:t>Legislated cargo reporting and declaration lodgement timeframes (set out at Attachment A) are designed to provide Customs and Border Protection with the information needed to promptly undertake risk assessment and to identify requirements for further intervention once the goods have arrived into Australia.</w:t>
      </w:r>
    </w:p>
    <w:p>
      <w:pPr>
        <w:pStyle w:val="BodyText"/>
        <w:spacing w:before="1"/>
        <w:rPr>
          <w:sz w:val="19"/>
        </w:rPr>
      </w:pPr>
    </w:p>
    <w:p>
      <w:pPr>
        <w:pStyle w:val="BodyText"/>
        <w:ind w:left="1259"/>
      </w:pPr>
      <w:r>
        <w:rPr/>
        <w:t>Key elements of this information include:</w:t>
      </w:r>
    </w:p>
    <w:p>
      <w:pPr>
        <w:pStyle w:val="BodyText"/>
        <w:spacing w:before="6"/>
        <w:rPr>
          <w:sz w:val="19"/>
        </w:rPr>
      </w:pPr>
    </w:p>
    <w:p>
      <w:pPr>
        <w:pStyle w:val="ListParagraph"/>
        <w:numPr>
          <w:ilvl w:val="0"/>
          <w:numId w:val="2"/>
        </w:numPr>
        <w:tabs>
          <w:tab w:pos="2040" w:val="left" w:leader="none"/>
        </w:tabs>
        <w:spacing w:line="235" w:lineRule="auto" w:before="0" w:after="0"/>
        <w:ind w:left="2039" w:right="1289" w:hanging="360"/>
        <w:jc w:val="both"/>
        <w:rPr>
          <w:sz w:val="20"/>
        </w:rPr>
      </w:pPr>
      <w:r>
        <w:rPr>
          <w:sz w:val="20"/>
        </w:rPr>
        <w:t>all related cargo reports for each consignment; so that the details of participants in the supply chain and ultimate consignor and consignees are available prior to the arrival of goods at the first Australian Port; and</w:t>
      </w:r>
    </w:p>
    <w:p>
      <w:pPr>
        <w:pStyle w:val="ListParagraph"/>
        <w:numPr>
          <w:ilvl w:val="0"/>
          <w:numId w:val="2"/>
        </w:numPr>
        <w:tabs>
          <w:tab w:pos="2039" w:val="left" w:leader="none"/>
          <w:tab w:pos="2040" w:val="left" w:leader="none"/>
        </w:tabs>
        <w:spacing w:line="235" w:lineRule="auto" w:before="0" w:after="0"/>
        <w:ind w:left="2039" w:right="1636" w:hanging="360"/>
        <w:jc w:val="left"/>
        <w:rPr>
          <w:sz w:val="20"/>
        </w:rPr>
      </w:pPr>
      <w:r>
        <w:rPr>
          <w:sz w:val="20"/>
        </w:rPr>
        <w:t>all import declarations; providing advice about the identity of the importer, suppliers, and commodities, lodged by the end of the next working day of Customs, following the day on which the goods were imported into</w:t>
      </w:r>
      <w:r>
        <w:rPr>
          <w:spacing w:val="1"/>
          <w:sz w:val="20"/>
        </w:rPr>
        <w:t> </w:t>
      </w:r>
      <w:r>
        <w:rPr>
          <w:sz w:val="20"/>
        </w:rPr>
        <w:t>Australia.</w:t>
      </w:r>
    </w:p>
    <w:p>
      <w:pPr>
        <w:pStyle w:val="BodyText"/>
        <w:spacing w:before="1"/>
        <w:rPr>
          <w:sz w:val="19"/>
        </w:rPr>
      </w:pPr>
    </w:p>
    <w:p>
      <w:pPr>
        <w:pStyle w:val="BodyText"/>
        <w:ind w:left="1259"/>
      </w:pPr>
      <w:r>
        <w:rPr/>
        <w:t>Timely and accurate reporting of cargo facilitates risk assessment to be undertaken:</w:t>
      </w:r>
    </w:p>
    <w:p>
      <w:pPr>
        <w:pStyle w:val="BodyText"/>
        <w:spacing w:before="5"/>
        <w:rPr>
          <w:sz w:val="21"/>
        </w:rPr>
      </w:pPr>
    </w:p>
    <w:p>
      <w:pPr>
        <w:pStyle w:val="ListParagraph"/>
        <w:numPr>
          <w:ilvl w:val="0"/>
          <w:numId w:val="1"/>
        </w:numPr>
        <w:tabs>
          <w:tab w:pos="1979" w:val="left" w:leader="none"/>
          <w:tab w:pos="1980" w:val="left" w:leader="none"/>
        </w:tabs>
        <w:spacing w:line="220" w:lineRule="auto" w:before="0" w:after="0"/>
        <w:ind w:left="1979" w:right="1808" w:hanging="360"/>
        <w:jc w:val="left"/>
        <w:rPr>
          <w:sz w:val="20"/>
        </w:rPr>
      </w:pPr>
      <w:r>
        <w:rPr>
          <w:sz w:val="20"/>
        </w:rPr>
        <w:t>in the case of sea cargo, prior to the goods moving from the port of destination (either to licensed premises or into home consumption);</w:t>
      </w:r>
      <w:r>
        <w:rPr>
          <w:spacing w:val="-6"/>
          <w:sz w:val="20"/>
        </w:rPr>
        <w:t> </w:t>
      </w:r>
      <w:r>
        <w:rPr>
          <w:sz w:val="20"/>
        </w:rPr>
        <w:t>and</w:t>
      </w:r>
    </w:p>
    <w:p>
      <w:pPr>
        <w:pStyle w:val="ListParagraph"/>
        <w:numPr>
          <w:ilvl w:val="0"/>
          <w:numId w:val="1"/>
        </w:numPr>
        <w:tabs>
          <w:tab w:pos="1979" w:val="left" w:leader="none"/>
          <w:tab w:pos="1980" w:val="left" w:leader="none"/>
        </w:tabs>
        <w:spacing w:line="240" w:lineRule="auto" w:before="14" w:after="0"/>
        <w:ind w:left="1979" w:right="0" w:hanging="361"/>
        <w:jc w:val="left"/>
        <w:rPr>
          <w:sz w:val="20"/>
        </w:rPr>
      </w:pPr>
      <w:r>
        <w:rPr>
          <w:sz w:val="20"/>
        </w:rPr>
        <w:t>in the case of air cargo, shortly after arrival at the intended place of</w:t>
      </w:r>
      <w:r>
        <w:rPr>
          <w:spacing w:val="-12"/>
          <w:sz w:val="20"/>
        </w:rPr>
        <w:t> </w:t>
      </w:r>
      <w:r>
        <w:rPr>
          <w:sz w:val="20"/>
        </w:rPr>
        <w:t>deconsolidation.</w:t>
      </w:r>
    </w:p>
    <w:p>
      <w:pPr>
        <w:pStyle w:val="BodyText"/>
      </w:pPr>
    </w:p>
    <w:p>
      <w:pPr>
        <w:pStyle w:val="BodyText"/>
      </w:pPr>
    </w:p>
    <w:p>
      <w:pPr>
        <w:pStyle w:val="BodyText"/>
      </w:pPr>
    </w:p>
    <w:p>
      <w:pPr>
        <w:pStyle w:val="BodyText"/>
        <w:spacing w:before="11"/>
        <w:rPr>
          <w:sz w:val="14"/>
        </w:rPr>
      </w:pPr>
      <w:r>
        <w:rPr/>
        <w:pict>
          <v:rect style="position:absolute;margin-left:71.999519pt;margin-top:10.729481pt;width:143.999997pt;height:.479531pt;mso-position-horizontal-relative:page;mso-position-vertical-relative:paragraph;z-index:-15728128;mso-wrap-distance-left:0;mso-wrap-distance-right:0" filled="true" fillcolor="#000000" stroked="false">
            <v:fill type="solid"/>
            <w10:wrap type="topAndBottom"/>
          </v:rect>
        </w:pict>
      </w:r>
    </w:p>
    <w:p>
      <w:pPr>
        <w:pStyle w:val="BodyText"/>
        <w:spacing w:line="232" w:lineRule="auto" w:before="58"/>
        <w:ind w:left="1259" w:right="1121"/>
      </w:pPr>
      <w:r>
        <w:rPr>
          <w:vertAlign w:val="superscript"/>
        </w:rPr>
        <w:t>1</w:t>
      </w:r>
      <w:r>
        <w:rPr>
          <w:vertAlign w:val="baseline"/>
        </w:rPr>
        <w:t> This ACN was first published on 2 December 2011. It was revised on 5 December 2011 to include a column of legislative references in Attachment A.</w:t>
      </w:r>
    </w:p>
    <w:p>
      <w:pPr>
        <w:spacing w:after="0" w:line="232" w:lineRule="auto"/>
        <w:sectPr>
          <w:type w:val="continuous"/>
          <w:pgSz w:w="11900" w:h="16840"/>
          <w:pgMar w:top="1140" w:bottom="280" w:left="180" w:right="160"/>
        </w:sectPr>
      </w:pPr>
    </w:p>
    <w:p>
      <w:pPr>
        <w:pStyle w:val="Heading2"/>
        <w:spacing w:before="33"/>
      </w:pPr>
      <w:r>
        <w:rPr/>
        <w:t>Why is the early lodgement of accurate cargo reports and import declarations important?</w:t>
      </w:r>
    </w:p>
    <w:p>
      <w:pPr>
        <w:pStyle w:val="BodyText"/>
        <w:spacing w:before="2"/>
        <w:rPr>
          <w:b/>
          <w:sz w:val="23"/>
        </w:rPr>
      </w:pPr>
    </w:p>
    <w:p>
      <w:pPr>
        <w:pStyle w:val="BodyText"/>
        <w:spacing w:line="235" w:lineRule="auto"/>
        <w:ind w:left="1259" w:right="1431"/>
      </w:pPr>
      <w:r>
        <w:rPr/>
        <w:t>Early and accurate reporting enables Customs and Border Protection to promptly determine any risk response actions (such as intervention) that will need to be undertaken following the arrival of goods into Australia and also facilitates early release of legitimate cargo. Reporting within the prescribed timeframes is also a statutory requirement.</w:t>
      </w:r>
    </w:p>
    <w:p>
      <w:pPr>
        <w:pStyle w:val="BodyText"/>
        <w:spacing w:before="5"/>
        <w:rPr>
          <w:sz w:val="19"/>
        </w:rPr>
      </w:pPr>
    </w:p>
    <w:p>
      <w:pPr>
        <w:pStyle w:val="BodyText"/>
        <w:spacing w:line="235" w:lineRule="auto"/>
        <w:ind w:left="1259" w:right="1388"/>
      </w:pPr>
      <w:r>
        <w:rPr/>
        <w:t>This has benefits across industry including certainty of status for early logistics planning by importers and their service providers. It also enables goods of low risk to move under Customs permission pending completion of a range of procedural formalities (such as payment of revenue and deconsolidation), once any potentially serious breaches of border control have been ruled out.</w:t>
      </w:r>
    </w:p>
    <w:p>
      <w:pPr>
        <w:pStyle w:val="BodyText"/>
        <w:spacing w:before="5"/>
        <w:rPr>
          <w:sz w:val="19"/>
        </w:rPr>
      </w:pPr>
    </w:p>
    <w:p>
      <w:pPr>
        <w:pStyle w:val="BodyText"/>
        <w:spacing w:line="235" w:lineRule="auto"/>
        <w:ind w:left="1259" w:right="1232"/>
      </w:pPr>
      <w:r>
        <w:rPr/>
        <w:t>Most traders and cargo reporters complete reporting and import entry formalities within the prescribed timeframes, however a small proportion of cargo remains unreported (either declaration or lowest level cargo report not lodged) at the time of movement.</w:t>
      </w:r>
    </w:p>
    <w:p>
      <w:pPr>
        <w:pStyle w:val="BodyText"/>
        <w:spacing w:before="7"/>
        <w:rPr>
          <w:sz w:val="19"/>
        </w:rPr>
      </w:pPr>
    </w:p>
    <w:p>
      <w:pPr>
        <w:pStyle w:val="BodyText"/>
        <w:spacing w:line="235" w:lineRule="auto"/>
        <w:ind w:left="1259" w:right="1220"/>
      </w:pPr>
      <w:r>
        <w:rPr/>
        <w:t>Movement of cargo that has not been fully and accurately reported represents a vulnerability within the supply chain, creates the requirement for additional handling and storage at licensed premises and delays clearance of cargo and certainty of availability for logistics service providers and traders alike.</w:t>
      </w:r>
    </w:p>
    <w:p>
      <w:pPr>
        <w:pStyle w:val="BodyText"/>
        <w:spacing w:before="5"/>
        <w:rPr>
          <w:sz w:val="19"/>
        </w:rPr>
      </w:pPr>
    </w:p>
    <w:p>
      <w:pPr>
        <w:pStyle w:val="BodyText"/>
        <w:spacing w:line="235" w:lineRule="auto"/>
        <w:ind w:left="1259" w:right="1564"/>
      </w:pPr>
      <w:r>
        <w:rPr/>
        <w:t>In 2011-2012, Customs and Border Protection will commence increased scrutiny of consignments where there has been no declaration lodged within the statutory timeframe. This may mean that in some cases, cargo that had been granted permission to move underbond prior to lodgement of the import declaration may be subject to intervention activities.</w:t>
      </w:r>
    </w:p>
    <w:p>
      <w:pPr>
        <w:pStyle w:val="BodyText"/>
        <w:spacing w:before="5"/>
        <w:rPr>
          <w:sz w:val="19"/>
        </w:rPr>
      </w:pPr>
    </w:p>
    <w:p>
      <w:pPr>
        <w:pStyle w:val="BodyText"/>
        <w:spacing w:line="235" w:lineRule="auto"/>
        <w:ind w:left="1259" w:right="1977"/>
      </w:pPr>
      <w:r>
        <w:rPr/>
        <w:t>As part of the focus on lodgement within statutory timeframes, traders and cargo reporters are encouraged to review the legislated cargo reporting and declaration lodgement timeframes at Attachment A, to ensure familiarity with reporting requirements.</w:t>
      </w:r>
    </w:p>
    <w:p>
      <w:pPr>
        <w:pStyle w:val="BodyText"/>
        <w:spacing w:before="2"/>
        <w:rPr>
          <w:sz w:val="19"/>
        </w:rPr>
      </w:pPr>
    </w:p>
    <w:p>
      <w:pPr>
        <w:pStyle w:val="Heading2"/>
        <w:spacing w:line="232" w:lineRule="auto"/>
        <w:ind w:right="1429"/>
      </w:pPr>
      <w:r>
        <w:rPr/>
        <w:t>Facilitation benefits of early and accurate reporting (including cargo reports and import declarations)</w:t>
      </w:r>
    </w:p>
    <w:p>
      <w:pPr>
        <w:pStyle w:val="BodyText"/>
        <w:spacing w:before="5"/>
        <w:rPr>
          <w:b/>
          <w:sz w:val="19"/>
        </w:rPr>
      </w:pPr>
    </w:p>
    <w:p>
      <w:pPr>
        <w:pStyle w:val="BodyText"/>
        <w:spacing w:line="235" w:lineRule="auto"/>
        <w:ind w:left="1259" w:right="1142" w:hanging="1"/>
      </w:pPr>
      <w:r>
        <w:rPr/>
        <w:t>Annual time release studies (TRS)</w:t>
      </w:r>
      <w:r>
        <w:rPr>
          <w:vertAlign w:val="superscript"/>
        </w:rPr>
        <w:t>2</w:t>
      </w:r>
      <w:r>
        <w:rPr>
          <w:vertAlign w:val="baseline"/>
        </w:rPr>
        <w:t> undertaken by Customs and Border Protection show an improvement in early lodgement across 2007, 2008 and 2009, with corresponding improvement in the timing of cargo release. However in 2010, a reduction in reporting performance has contributed to a slip in clearance performance.</w:t>
      </w:r>
    </w:p>
    <w:p>
      <w:pPr>
        <w:pStyle w:val="BodyText"/>
        <w:spacing w:before="1"/>
        <w:rPr>
          <w:sz w:val="19"/>
        </w:rPr>
      </w:pPr>
    </w:p>
    <w:p>
      <w:pPr>
        <w:pStyle w:val="BodyText"/>
        <w:ind w:left="1259"/>
      </w:pPr>
      <w:r>
        <w:rPr/>
        <w:t>The 2010 TRS can be found at </w:t>
      </w:r>
      <w:hyperlink r:id="rId6">
        <w:r>
          <w:rPr>
            <w:color w:val="0000FF"/>
            <w:u w:val="single" w:color="0000FF"/>
          </w:rPr>
          <w:t>http://www.customs.gov.au/site/page6067.asp</w:t>
        </w:r>
      </w:hyperlink>
    </w:p>
    <w:p>
      <w:pPr>
        <w:pStyle w:val="BodyText"/>
        <w:spacing w:before="5"/>
        <w:rPr>
          <w:sz w:val="17"/>
        </w:rPr>
      </w:pPr>
    </w:p>
    <w:p>
      <w:pPr>
        <w:pStyle w:val="Heading2"/>
        <w:spacing w:before="62"/>
      </w:pPr>
      <w:r>
        <w:rPr/>
        <w:t>Impediments to early reporting</w:t>
      </w:r>
    </w:p>
    <w:p>
      <w:pPr>
        <w:pStyle w:val="BodyText"/>
        <w:spacing w:before="2"/>
        <w:rPr>
          <w:b/>
          <w:sz w:val="19"/>
        </w:rPr>
      </w:pPr>
    </w:p>
    <w:p>
      <w:pPr>
        <w:pStyle w:val="BodyText"/>
        <w:spacing w:line="235" w:lineRule="auto"/>
        <w:ind w:left="1259" w:right="1487"/>
      </w:pPr>
      <w:r>
        <w:rPr/>
        <w:t>Customs and Border Protection will continue to engage with industry through key industry forums to understand impediments that prevent further improvement in cargo reporting and import entry lodgement timing and will address them where possible.</w:t>
      </w:r>
    </w:p>
    <w:p>
      <w:pPr>
        <w:pStyle w:val="BodyText"/>
        <w:spacing w:before="11"/>
        <w:rPr>
          <w:sz w:val="18"/>
        </w:rPr>
      </w:pPr>
    </w:p>
    <w:p>
      <w:pPr>
        <w:pStyle w:val="Heading2"/>
      </w:pPr>
      <w:r>
        <w:rPr/>
        <w:t>Further Information</w:t>
      </w:r>
    </w:p>
    <w:p>
      <w:pPr>
        <w:pStyle w:val="BodyText"/>
        <w:spacing w:before="1"/>
        <w:rPr>
          <w:b/>
          <w:sz w:val="19"/>
        </w:rPr>
      </w:pPr>
    </w:p>
    <w:p>
      <w:pPr>
        <w:pStyle w:val="BodyText"/>
        <w:spacing w:line="235" w:lineRule="auto" w:before="1"/>
        <w:ind w:left="1259" w:right="1164"/>
      </w:pPr>
      <w:r>
        <w:rPr/>
        <w:t>Any queries about matters addressed in this ACN should be directed to the Cargo Support Team within the Customs Information and Support Centre (CI&amp;SC) by:</w:t>
      </w:r>
    </w:p>
    <w:p>
      <w:pPr>
        <w:pStyle w:val="BodyText"/>
        <w:spacing w:before="3"/>
        <w:rPr>
          <w:sz w:val="19"/>
        </w:rPr>
      </w:pPr>
    </w:p>
    <w:p>
      <w:pPr>
        <w:pStyle w:val="ListParagraph"/>
        <w:numPr>
          <w:ilvl w:val="0"/>
          <w:numId w:val="3"/>
        </w:numPr>
        <w:tabs>
          <w:tab w:pos="1979" w:val="left" w:leader="none"/>
          <w:tab w:pos="1980" w:val="left" w:leader="none"/>
        </w:tabs>
        <w:spacing w:line="233" w:lineRule="exact" w:before="0" w:after="0"/>
        <w:ind w:left="1979" w:right="0" w:hanging="361"/>
        <w:jc w:val="left"/>
        <w:rPr>
          <w:sz w:val="20"/>
        </w:rPr>
      </w:pPr>
      <w:r>
        <w:rPr>
          <w:sz w:val="20"/>
        </w:rPr>
        <w:t>telephone on 1300 558</w:t>
      </w:r>
      <w:r>
        <w:rPr>
          <w:spacing w:val="-3"/>
          <w:sz w:val="20"/>
        </w:rPr>
        <w:t> </w:t>
      </w:r>
      <w:r>
        <w:rPr>
          <w:sz w:val="20"/>
        </w:rPr>
        <w:t>099</w:t>
      </w:r>
    </w:p>
    <w:p>
      <w:pPr>
        <w:pStyle w:val="ListParagraph"/>
        <w:numPr>
          <w:ilvl w:val="0"/>
          <w:numId w:val="3"/>
        </w:numPr>
        <w:tabs>
          <w:tab w:pos="1979" w:val="left" w:leader="none"/>
          <w:tab w:pos="1980" w:val="left" w:leader="none"/>
        </w:tabs>
        <w:spacing w:line="233" w:lineRule="exact" w:before="0" w:after="0"/>
        <w:ind w:left="1979" w:right="0" w:hanging="361"/>
        <w:jc w:val="left"/>
        <w:rPr>
          <w:sz w:val="20"/>
        </w:rPr>
      </w:pPr>
      <w:r>
        <w:rPr>
          <w:sz w:val="20"/>
        </w:rPr>
        <w:t>email at</w:t>
      </w:r>
      <w:r>
        <w:rPr>
          <w:color w:val="0000FF"/>
          <w:spacing w:val="-4"/>
          <w:sz w:val="20"/>
        </w:rPr>
        <w:t> </w:t>
      </w:r>
      <w:hyperlink r:id="rId7">
        <w:r>
          <w:rPr>
            <w:color w:val="0000FF"/>
            <w:sz w:val="20"/>
            <w:u w:val="single" w:color="0000FF"/>
          </w:rPr>
          <w:t>cargosupport@customs.gov.au</w:t>
        </w:r>
      </w:hyperlink>
    </w:p>
    <w:p>
      <w:pPr>
        <w:pStyle w:val="BodyText"/>
        <w:spacing w:before="6"/>
        <w:rPr>
          <w:sz w:val="13"/>
        </w:rPr>
      </w:pPr>
    </w:p>
    <w:p>
      <w:pPr>
        <w:pStyle w:val="BodyText"/>
        <w:spacing w:line="233" w:lineRule="exact" w:before="65"/>
        <w:ind w:left="1259"/>
      </w:pPr>
      <w:r>
        <w:rPr/>
        <w:t>Erin Dale</w:t>
      </w:r>
    </w:p>
    <w:p>
      <w:pPr>
        <w:pStyle w:val="BodyText"/>
        <w:spacing w:line="235" w:lineRule="auto" w:before="1"/>
        <w:ind w:left="1259" w:right="7541"/>
      </w:pPr>
      <w:r>
        <w:rPr/>
        <w:t>A/g National Manager Strategic Development (Cargo) CANBERRA ACT</w:t>
      </w:r>
    </w:p>
    <w:p>
      <w:pPr>
        <w:pStyle w:val="BodyText"/>
        <w:spacing w:line="231" w:lineRule="exact"/>
        <w:ind w:left="1259"/>
      </w:pPr>
      <w:r>
        <w:rPr/>
        <w:t>2 December</w:t>
      </w:r>
      <w:r>
        <w:rPr>
          <w:spacing w:val="-11"/>
        </w:rPr>
        <w:t> </w:t>
      </w:r>
      <w:r>
        <w:rPr/>
        <w:t>2011</w:t>
      </w:r>
    </w:p>
    <w:p>
      <w:pPr>
        <w:pStyle w:val="BodyText"/>
      </w:pPr>
    </w:p>
    <w:p>
      <w:pPr>
        <w:pStyle w:val="BodyText"/>
        <w:spacing w:before="8"/>
        <w:rPr>
          <w:sz w:val="15"/>
        </w:rPr>
      </w:pPr>
      <w:r>
        <w:rPr/>
        <w:pict>
          <v:rect style="position:absolute;margin-left:71.999519pt;margin-top:11.210417pt;width:143.999997pt;height:.479531pt;mso-position-horizontal-relative:page;mso-position-vertical-relative:paragraph;z-index:-15727616;mso-wrap-distance-left:0;mso-wrap-distance-right:0" filled="true" fillcolor="#000000" stroked="false">
            <v:fill type="solid"/>
            <w10:wrap type="topAndBottom"/>
          </v:rect>
        </w:pict>
      </w:r>
    </w:p>
    <w:p>
      <w:pPr>
        <w:pStyle w:val="BodyText"/>
        <w:spacing w:line="235" w:lineRule="auto" w:before="56"/>
        <w:ind w:left="1259" w:right="1193"/>
      </w:pPr>
      <w:r>
        <w:rPr>
          <w:vertAlign w:val="superscript"/>
        </w:rPr>
        <w:t>2</w:t>
      </w:r>
      <w:r>
        <w:rPr>
          <w:vertAlign w:val="baseline"/>
        </w:rPr>
        <w:t> TRS measures the average time from the arrival of goods at a port until their release by Customs and Border Protection and other border agencies.</w:t>
      </w:r>
    </w:p>
    <w:p>
      <w:pPr>
        <w:spacing w:after="0" w:line="235" w:lineRule="auto"/>
        <w:sectPr>
          <w:pgSz w:w="11900" w:h="16840"/>
          <w:pgMar w:top="1320" w:bottom="280" w:left="180" w:right="160"/>
        </w:sectPr>
      </w:pPr>
    </w:p>
    <w:p>
      <w:pPr>
        <w:pStyle w:val="Heading2"/>
        <w:spacing w:before="43"/>
        <w:ind w:left="1379" w:right="1233"/>
        <w:jc w:val="center"/>
      </w:pPr>
      <w:r>
        <w:rPr/>
        <w:t>ATTACHMENT A</w:t>
      </w:r>
    </w:p>
    <w:p>
      <w:pPr>
        <w:pStyle w:val="BodyText"/>
        <w:spacing w:before="8"/>
        <w:rPr>
          <w:b/>
          <w:sz w:val="18"/>
        </w:rPr>
      </w:pPr>
    </w:p>
    <w:p>
      <w:pPr>
        <w:spacing w:before="0"/>
        <w:ind w:left="1379" w:right="1243" w:firstLine="0"/>
        <w:jc w:val="center"/>
        <w:rPr>
          <w:b/>
          <w:sz w:val="20"/>
        </w:rPr>
      </w:pPr>
      <w:r>
        <w:rPr>
          <w:b/>
          <w:sz w:val="20"/>
        </w:rPr>
        <w:t>Cargo Reporting Timeframes for Sea Cargo</w:t>
      </w:r>
    </w:p>
    <w:p>
      <w:pPr>
        <w:pStyle w:val="BodyText"/>
        <w:spacing w:before="5"/>
        <w:rPr>
          <w:b/>
          <w:sz w:val="19"/>
        </w:rPr>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4860"/>
        <w:gridCol w:w="2834"/>
      </w:tblGrid>
      <w:tr>
        <w:trPr>
          <w:trHeight w:val="1302" w:hRule="atLeast"/>
        </w:trPr>
        <w:tc>
          <w:tcPr>
            <w:tcW w:w="2088" w:type="dxa"/>
            <w:shd w:val="clear" w:color="auto" w:fill="C0C0C0"/>
          </w:tcPr>
          <w:p>
            <w:pPr>
              <w:pStyle w:val="TableParagraph"/>
              <w:spacing w:before="110"/>
              <w:ind w:left="688"/>
              <w:rPr>
                <w:b/>
                <w:sz w:val="22"/>
              </w:rPr>
            </w:pPr>
            <w:r>
              <w:rPr>
                <w:b/>
                <w:sz w:val="22"/>
              </w:rPr>
              <w:t>Report</w:t>
            </w:r>
          </w:p>
        </w:tc>
        <w:tc>
          <w:tcPr>
            <w:tcW w:w="4860" w:type="dxa"/>
            <w:shd w:val="clear" w:color="auto" w:fill="C0C0C0"/>
          </w:tcPr>
          <w:p>
            <w:pPr>
              <w:pStyle w:val="TableParagraph"/>
              <w:spacing w:before="110"/>
              <w:ind w:left="1279"/>
              <w:rPr>
                <w:b/>
                <w:sz w:val="22"/>
              </w:rPr>
            </w:pPr>
            <w:r>
              <w:rPr>
                <w:b/>
                <w:sz w:val="22"/>
              </w:rPr>
              <w:t>Lodgement timeframe</w:t>
            </w:r>
          </w:p>
        </w:tc>
        <w:tc>
          <w:tcPr>
            <w:tcW w:w="2834" w:type="dxa"/>
            <w:shd w:val="clear" w:color="auto" w:fill="C0C0C0"/>
          </w:tcPr>
          <w:p>
            <w:pPr>
              <w:pStyle w:val="TableParagraph"/>
              <w:spacing w:before="110"/>
              <w:ind w:left="203" w:right="193"/>
              <w:jc w:val="center"/>
              <w:rPr>
                <w:b/>
                <w:sz w:val="22"/>
              </w:rPr>
            </w:pPr>
            <w:r>
              <w:rPr>
                <w:b/>
                <w:sz w:val="22"/>
              </w:rPr>
              <w:t>Legislative reference</w:t>
            </w:r>
          </w:p>
          <w:p>
            <w:pPr>
              <w:pStyle w:val="TableParagraph"/>
              <w:spacing w:line="234" w:lineRule="exact" w:before="110"/>
              <w:ind w:left="203" w:right="196"/>
              <w:jc w:val="center"/>
              <w:rPr>
                <w:b/>
                <w:sz w:val="20"/>
              </w:rPr>
            </w:pPr>
            <w:r>
              <w:rPr>
                <w:b/>
                <w:sz w:val="20"/>
              </w:rPr>
              <w:t>All refer to the</w:t>
            </w:r>
          </w:p>
          <w:p>
            <w:pPr>
              <w:pStyle w:val="TableParagraph"/>
              <w:spacing w:line="232" w:lineRule="auto" w:before="1"/>
              <w:ind w:left="203" w:right="196"/>
              <w:jc w:val="center"/>
              <w:rPr>
                <w:b/>
                <w:sz w:val="20"/>
              </w:rPr>
            </w:pPr>
            <w:r>
              <w:rPr>
                <w:rFonts w:ascii="Helvetica-BoldOblique"/>
                <w:b/>
                <w:i/>
                <w:sz w:val="20"/>
              </w:rPr>
              <w:t>Customs Act 1901 </w:t>
            </w:r>
            <w:r>
              <w:rPr>
                <w:b/>
                <w:sz w:val="20"/>
              </w:rPr>
              <w:t>unless otherwise stated</w:t>
            </w:r>
          </w:p>
        </w:tc>
      </w:tr>
      <w:tr>
        <w:trPr>
          <w:trHeight w:val="388" w:hRule="atLeast"/>
        </w:trPr>
        <w:tc>
          <w:tcPr>
            <w:tcW w:w="2088" w:type="dxa"/>
            <w:tcBorders>
              <w:bottom w:val="nil"/>
            </w:tcBorders>
            <w:shd w:val="clear" w:color="auto" w:fill="F3F3F3"/>
          </w:tcPr>
          <w:p>
            <w:pPr>
              <w:pStyle w:val="TableParagraph"/>
              <w:spacing w:line="254" w:lineRule="exact"/>
              <w:rPr>
                <w:i/>
                <w:sz w:val="22"/>
              </w:rPr>
            </w:pPr>
            <w:r>
              <w:rPr>
                <w:i/>
                <w:sz w:val="22"/>
              </w:rPr>
              <w:t>Impending Arrival</w:t>
            </w:r>
          </w:p>
        </w:tc>
        <w:tc>
          <w:tcPr>
            <w:tcW w:w="4860" w:type="dxa"/>
            <w:tcBorders>
              <w:bottom w:val="nil"/>
            </w:tcBorders>
          </w:tcPr>
          <w:p>
            <w:pPr>
              <w:pStyle w:val="TableParagraph"/>
              <w:spacing w:line="254" w:lineRule="exact"/>
              <w:rPr>
                <w:sz w:val="22"/>
              </w:rPr>
            </w:pPr>
            <w:r>
              <w:rPr>
                <w:sz w:val="22"/>
              </w:rPr>
              <w:t>Not more than 10 days and not less than 96</w:t>
            </w:r>
          </w:p>
        </w:tc>
        <w:tc>
          <w:tcPr>
            <w:tcW w:w="2834" w:type="dxa"/>
            <w:tcBorders>
              <w:bottom w:val="nil"/>
            </w:tcBorders>
          </w:tcPr>
          <w:p>
            <w:pPr>
              <w:pStyle w:val="TableParagraph"/>
              <w:spacing w:line="254" w:lineRule="exact"/>
              <w:rPr>
                <w:sz w:val="22"/>
              </w:rPr>
            </w:pPr>
            <w:r>
              <w:rPr>
                <w:sz w:val="22"/>
              </w:rPr>
              <w:t>Section 64(5) and</w:t>
            </w:r>
          </w:p>
        </w:tc>
      </w:tr>
      <w:tr>
        <w:trPr>
          <w:trHeight w:val="253" w:hRule="atLeast"/>
        </w:trPr>
        <w:tc>
          <w:tcPr>
            <w:tcW w:w="2088" w:type="dxa"/>
            <w:tcBorders>
              <w:top w:val="nil"/>
              <w:bottom w:val="nil"/>
            </w:tcBorders>
            <w:shd w:val="clear" w:color="auto" w:fill="F3F3F3"/>
          </w:tcPr>
          <w:p>
            <w:pPr>
              <w:pStyle w:val="TableParagraph"/>
              <w:spacing w:line="233" w:lineRule="exact" w:before="0"/>
              <w:rPr>
                <w:i/>
                <w:sz w:val="22"/>
              </w:rPr>
            </w:pPr>
            <w:r>
              <w:rPr>
                <w:i/>
                <w:sz w:val="22"/>
              </w:rPr>
              <w:t>Report</w:t>
            </w:r>
          </w:p>
        </w:tc>
        <w:tc>
          <w:tcPr>
            <w:tcW w:w="4860" w:type="dxa"/>
            <w:tcBorders>
              <w:top w:val="nil"/>
              <w:bottom w:val="nil"/>
            </w:tcBorders>
          </w:tcPr>
          <w:p>
            <w:pPr>
              <w:pStyle w:val="TableParagraph"/>
              <w:spacing w:line="233" w:lineRule="exact" w:before="0"/>
              <w:rPr>
                <w:b/>
                <w:sz w:val="22"/>
              </w:rPr>
            </w:pPr>
            <w:r>
              <w:rPr>
                <w:sz w:val="22"/>
              </w:rPr>
              <w:t>hours before the </w:t>
            </w:r>
            <w:r>
              <w:rPr>
                <w:b/>
                <w:sz w:val="22"/>
              </w:rPr>
              <w:t>Estimated Time of Arrival</w:t>
            </w:r>
          </w:p>
        </w:tc>
        <w:tc>
          <w:tcPr>
            <w:tcW w:w="2834" w:type="dxa"/>
            <w:tcBorders>
              <w:top w:val="nil"/>
              <w:bottom w:val="nil"/>
            </w:tcBorders>
          </w:tcPr>
          <w:p>
            <w:pPr>
              <w:pStyle w:val="TableParagraph"/>
              <w:spacing w:line="233" w:lineRule="exact" w:before="0"/>
              <w:rPr>
                <w:sz w:val="22"/>
              </w:rPr>
            </w:pPr>
            <w:r>
              <w:rPr>
                <w:sz w:val="22"/>
              </w:rPr>
              <w:t>Regulations 26 and 27 of</w:t>
            </w:r>
          </w:p>
        </w:tc>
      </w:tr>
      <w:tr>
        <w:trPr>
          <w:trHeight w:val="254" w:hRule="atLeast"/>
        </w:trPr>
        <w:tc>
          <w:tcPr>
            <w:tcW w:w="2088" w:type="dxa"/>
            <w:tcBorders>
              <w:top w:val="nil"/>
              <w:bottom w:val="nil"/>
            </w:tcBorders>
            <w:shd w:val="clear" w:color="auto" w:fill="F3F3F3"/>
          </w:tcPr>
          <w:p>
            <w:pPr>
              <w:pStyle w:val="TableParagraph"/>
              <w:spacing w:before="0"/>
              <w:ind w:left="0"/>
              <w:rPr>
                <w:rFonts w:ascii="Times New Roman"/>
                <w:sz w:val="18"/>
              </w:rPr>
            </w:pPr>
          </w:p>
        </w:tc>
        <w:tc>
          <w:tcPr>
            <w:tcW w:w="4860" w:type="dxa"/>
            <w:tcBorders>
              <w:top w:val="nil"/>
              <w:bottom w:val="nil"/>
            </w:tcBorders>
          </w:tcPr>
          <w:p>
            <w:pPr>
              <w:pStyle w:val="TableParagraph"/>
              <w:spacing w:line="234" w:lineRule="exact" w:before="0"/>
              <w:rPr>
                <w:sz w:val="22"/>
              </w:rPr>
            </w:pPr>
            <w:r>
              <w:rPr>
                <w:b/>
                <w:sz w:val="22"/>
              </w:rPr>
              <w:t>(ETA) </w:t>
            </w:r>
            <w:r>
              <w:rPr>
                <w:sz w:val="22"/>
              </w:rPr>
              <w:t>at the first Australian port</w:t>
            </w:r>
          </w:p>
        </w:tc>
        <w:tc>
          <w:tcPr>
            <w:tcW w:w="2834" w:type="dxa"/>
            <w:tcBorders>
              <w:top w:val="nil"/>
              <w:bottom w:val="nil"/>
            </w:tcBorders>
          </w:tcPr>
          <w:p>
            <w:pPr>
              <w:pStyle w:val="TableParagraph"/>
              <w:spacing w:line="234" w:lineRule="exact" w:before="0"/>
              <w:rPr>
                <w:i/>
                <w:sz w:val="22"/>
              </w:rPr>
            </w:pPr>
            <w:r>
              <w:rPr>
                <w:sz w:val="22"/>
              </w:rPr>
              <w:t>the </w:t>
            </w:r>
            <w:r>
              <w:rPr>
                <w:i/>
                <w:sz w:val="22"/>
              </w:rPr>
              <w:t>Customs Regulations</w:t>
            </w:r>
          </w:p>
        </w:tc>
      </w:tr>
      <w:tr>
        <w:trPr>
          <w:trHeight w:val="356" w:hRule="atLeast"/>
        </w:trPr>
        <w:tc>
          <w:tcPr>
            <w:tcW w:w="2088" w:type="dxa"/>
            <w:tcBorders>
              <w:top w:val="nil"/>
            </w:tcBorders>
            <w:shd w:val="clear" w:color="auto" w:fill="F3F3F3"/>
          </w:tcPr>
          <w:p>
            <w:pPr>
              <w:pStyle w:val="TableParagraph"/>
              <w:spacing w:before="0"/>
              <w:ind w:left="0"/>
              <w:rPr>
                <w:rFonts w:ascii="Times New Roman"/>
                <w:sz w:val="20"/>
              </w:rPr>
            </w:pPr>
          </w:p>
        </w:tc>
        <w:tc>
          <w:tcPr>
            <w:tcW w:w="4860" w:type="dxa"/>
            <w:tcBorders>
              <w:top w:val="nil"/>
            </w:tcBorders>
          </w:tcPr>
          <w:p>
            <w:pPr>
              <w:pStyle w:val="TableParagraph"/>
              <w:spacing w:before="0"/>
              <w:ind w:left="0"/>
              <w:rPr>
                <w:rFonts w:ascii="Times New Roman"/>
                <w:sz w:val="20"/>
              </w:rPr>
            </w:pPr>
          </w:p>
        </w:tc>
        <w:tc>
          <w:tcPr>
            <w:tcW w:w="2834" w:type="dxa"/>
            <w:tcBorders>
              <w:top w:val="nil"/>
            </w:tcBorders>
          </w:tcPr>
          <w:p>
            <w:pPr>
              <w:pStyle w:val="TableParagraph"/>
              <w:spacing w:line="236" w:lineRule="exact" w:before="0"/>
              <w:rPr>
                <w:i/>
                <w:sz w:val="22"/>
              </w:rPr>
            </w:pPr>
            <w:r>
              <w:rPr>
                <w:i/>
                <w:sz w:val="22"/>
              </w:rPr>
              <w:t>1926</w:t>
            </w:r>
          </w:p>
        </w:tc>
      </w:tr>
      <w:tr>
        <w:trPr>
          <w:trHeight w:val="389" w:hRule="atLeast"/>
        </w:trPr>
        <w:tc>
          <w:tcPr>
            <w:tcW w:w="2088" w:type="dxa"/>
            <w:tcBorders>
              <w:bottom w:val="nil"/>
            </w:tcBorders>
            <w:shd w:val="clear" w:color="auto" w:fill="F3F3F3"/>
          </w:tcPr>
          <w:p>
            <w:pPr>
              <w:pStyle w:val="TableParagraph"/>
              <w:spacing w:line="255" w:lineRule="exact"/>
              <w:rPr>
                <w:i/>
                <w:sz w:val="22"/>
              </w:rPr>
            </w:pPr>
            <w:r>
              <w:rPr>
                <w:i/>
                <w:sz w:val="22"/>
              </w:rPr>
              <w:t>Cargo Report</w:t>
            </w:r>
          </w:p>
        </w:tc>
        <w:tc>
          <w:tcPr>
            <w:tcW w:w="4860" w:type="dxa"/>
            <w:tcBorders>
              <w:bottom w:val="nil"/>
            </w:tcBorders>
          </w:tcPr>
          <w:p>
            <w:pPr>
              <w:pStyle w:val="TableParagraph"/>
              <w:spacing w:line="255" w:lineRule="exact"/>
              <w:rPr>
                <w:sz w:val="22"/>
              </w:rPr>
            </w:pPr>
            <w:r>
              <w:rPr>
                <w:sz w:val="22"/>
              </w:rPr>
              <w:t>Not less than 48 hours before the ETA at the</w:t>
            </w:r>
          </w:p>
        </w:tc>
        <w:tc>
          <w:tcPr>
            <w:tcW w:w="2834" w:type="dxa"/>
            <w:tcBorders>
              <w:bottom w:val="nil"/>
            </w:tcBorders>
          </w:tcPr>
          <w:p>
            <w:pPr>
              <w:pStyle w:val="TableParagraph"/>
              <w:spacing w:line="255" w:lineRule="exact"/>
              <w:rPr>
                <w:sz w:val="22"/>
              </w:rPr>
            </w:pPr>
            <w:r>
              <w:rPr>
                <w:sz w:val="22"/>
              </w:rPr>
              <w:t>Section 64AB(8) and</w:t>
            </w:r>
          </w:p>
        </w:tc>
      </w:tr>
      <w:tr>
        <w:trPr>
          <w:trHeight w:val="251" w:hRule="atLeast"/>
        </w:trPr>
        <w:tc>
          <w:tcPr>
            <w:tcW w:w="2088" w:type="dxa"/>
            <w:tcBorders>
              <w:top w:val="nil"/>
              <w:bottom w:val="nil"/>
            </w:tcBorders>
            <w:shd w:val="clear" w:color="auto" w:fill="F3F3F3"/>
          </w:tcPr>
          <w:p>
            <w:pPr>
              <w:pStyle w:val="TableParagraph"/>
              <w:spacing w:before="0"/>
              <w:ind w:left="0"/>
              <w:rPr>
                <w:rFonts w:ascii="Times New Roman"/>
                <w:sz w:val="18"/>
              </w:rPr>
            </w:pPr>
          </w:p>
        </w:tc>
        <w:tc>
          <w:tcPr>
            <w:tcW w:w="4860" w:type="dxa"/>
            <w:tcBorders>
              <w:top w:val="nil"/>
              <w:bottom w:val="nil"/>
            </w:tcBorders>
          </w:tcPr>
          <w:p>
            <w:pPr>
              <w:pStyle w:val="TableParagraph"/>
              <w:spacing w:line="232" w:lineRule="exact" w:before="0"/>
              <w:rPr>
                <w:sz w:val="22"/>
              </w:rPr>
            </w:pPr>
            <w:r>
              <w:rPr>
                <w:sz w:val="22"/>
              </w:rPr>
              <w:t>first Australian port</w:t>
            </w:r>
          </w:p>
        </w:tc>
        <w:tc>
          <w:tcPr>
            <w:tcW w:w="2834" w:type="dxa"/>
            <w:tcBorders>
              <w:top w:val="nil"/>
              <w:bottom w:val="nil"/>
            </w:tcBorders>
          </w:tcPr>
          <w:p>
            <w:pPr>
              <w:pStyle w:val="TableParagraph"/>
              <w:spacing w:line="232" w:lineRule="exact" w:before="0"/>
              <w:rPr>
                <w:sz w:val="22"/>
              </w:rPr>
            </w:pPr>
            <w:r>
              <w:rPr>
                <w:sz w:val="22"/>
              </w:rPr>
              <w:t>Regulations 28 and 29 of</w:t>
            </w:r>
          </w:p>
        </w:tc>
      </w:tr>
      <w:tr>
        <w:trPr>
          <w:trHeight w:val="253" w:hRule="atLeast"/>
        </w:trPr>
        <w:tc>
          <w:tcPr>
            <w:tcW w:w="2088" w:type="dxa"/>
            <w:tcBorders>
              <w:top w:val="nil"/>
              <w:bottom w:val="nil"/>
            </w:tcBorders>
            <w:shd w:val="clear" w:color="auto" w:fill="F3F3F3"/>
          </w:tcPr>
          <w:p>
            <w:pPr>
              <w:pStyle w:val="TableParagraph"/>
              <w:spacing w:before="0"/>
              <w:ind w:left="0"/>
              <w:rPr>
                <w:rFonts w:ascii="Times New Roman"/>
                <w:sz w:val="18"/>
              </w:rPr>
            </w:pPr>
          </w:p>
        </w:tc>
        <w:tc>
          <w:tcPr>
            <w:tcW w:w="4860" w:type="dxa"/>
            <w:tcBorders>
              <w:top w:val="nil"/>
              <w:bottom w:val="nil"/>
            </w:tcBorders>
          </w:tcPr>
          <w:p>
            <w:pPr>
              <w:pStyle w:val="TableParagraph"/>
              <w:spacing w:before="0"/>
              <w:ind w:left="0"/>
              <w:rPr>
                <w:rFonts w:ascii="Times New Roman"/>
                <w:sz w:val="18"/>
              </w:rPr>
            </w:pPr>
          </w:p>
        </w:tc>
        <w:tc>
          <w:tcPr>
            <w:tcW w:w="2834" w:type="dxa"/>
            <w:tcBorders>
              <w:top w:val="nil"/>
              <w:bottom w:val="nil"/>
            </w:tcBorders>
          </w:tcPr>
          <w:p>
            <w:pPr>
              <w:pStyle w:val="TableParagraph"/>
              <w:spacing w:line="233" w:lineRule="exact" w:before="0"/>
              <w:rPr>
                <w:i/>
                <w:sz w:val="22"/>
              </w:rPr>
            </w:pPr>
            <w:r>
              <w:rPr>
                <w:sz w:val="22"/>
              </w:rPr>
              <w:t>the </w:t>
            </w:r>
            <w:r>
              <w:rPr>
                <w:i/>
                <w:sz w:val="22"/>
              </w:rPr>
              <w:t>Customs Regulations</w:t>
            </w:r>
          </w:p>
        </w:tc>
      </w:tr>
      <w:tr>
        <w:trPr>
          <w:trHeight w:val="355" w:hRule="atLeast"/>
        </w:trPr>
        <w:tc>
          <w:tcPr>
            <w:tcW w:w="2088" w:type="dxa"/>
            <w:tcBorders>
              <w:top w:val="nil"/>
            </w:tcBorders>
            <w:shd w:val="clear" w:color="auto" w:fill="F3F3F3"/>
          </w:tcPr>
          <w:p>
            <w:pPr>
              <w:pStyle w:val="TableParagraph"/>
              <w:spacing w:before="0"/>
              <w:ind w:left="0"/>
              <w:rPr>
                <w:rFonts w:ascii="Times New Roman"/>
                <w:sz w:val="20"/>
              </w:rPr>
            </w:pPr>
          </w:p>
        </w:tc>
        <w:tc>
          <w:tcPr>
            <w:tcW w:w="4860" w:type="dxa"/>
            <w:tcBorders>
              <w:top w:val="nil"/>
            </w:tcBorders>
          </w:tcPr>
          <w:p>
            <w:pPr>
              <w:pStyle w:val="TableParagraph"/>
              <w:spacing w:before="0"/>
              <w:ind w:left="0"/>
              <w:rPr>
                <w:rFonts w:ascii="Times New Roman"/>
                <w:sz w:val="20"/>
              </w:rPr>
            </w:pPr>
          </w:p>
        </w:tc>
        <w:tc>
          <w:tcPr>
            <w:tcW w:w="2834" w:type="dxa"/>
            <w:tcBorders>
              <w:top w:val="nil"/>
            </w:tcBorders>
          </w:tcPr>
          <w:p>
            <w:pPr>
              <w:pStyle w:val="TableParagraph"/>
              <w:spacing w:line="237" w:lineRule="exact" w:before="0"/>
              <w:rPr>
                <w:i/>
                <w:sz w:val="22"/>
              </w:rPr>
            </w:pPr>
            <w:r>
              <w:rPr>
                <w:i/>
                <w:sz w:val="22"/>
              </w:rPr>
              <w:t>1926</w:t>
            </w:r>
          </w:p>
        </w:tc>
      </w:tr>
      <w:tr>
        <w:trPr>
          <w:trHeight w:val="1372" w:hRule="atLeast"/>
        </w:trPr>
        <w:tc>
          <w:tcPr>
            <w:tcW w:w="2088" w:type="dxa"/>
            <w:shd w:val="clear" w:color="auto" w:fill="F3F3F3"/>
          </w:tcPr>
          <w:p>
            <w:pPr>
              <w:pStyle w:val="TableParagraph"/>
              <w:rPr>
                <w:i/>
                <w:sz w:val="22"/>
              </w:rPr>
            </w:pPr>
            <w:r>
              <w:rPr>
                <w:i/>
                <w:sz w:val="22"/>
              </w:rPr>
              <w:t>Cargo List Report</w:t>
            </w:r>
          </w:p>
        </w:tc>
        <w:tc>
          <w:tcPr>
            <w:tcW w:w="4860" w:type="dxa"/>
          </w:tcPr>
          <w:p>
            <w:pPr>
              <w:pStyle w:val="TableParagraph"/>
              <w:spacing w:line="235" w:lineRule="auto" w:before="119"/>
              <w:ind w:right="369"/>
              <w:rPr>
                <w:sz w:val="22"/>
              </w:rPr>
            </w:pPr>
            <w:r>
              <w:rPr>
                <w:sz w:val="22"/>
              </w:rPr>
              <w:t>Not less than 48 hours before the ETA at the first Australian port.</w:t>
            </w:r>
          </w:p>
          <w:p>
            <w:pPr>
              <w:pStyle w:val="TableParagraph"/>
              <w:spacing w:line="235" w:lineRule="auto" w:before="119"/>
              <w:ind w:right="736"/>
              <w:rPr>
                <w:sz w:val="22"/>
              </w:rPr>
            </w:pPr>
            <w:r>
              <w:rPr>
                <w:sz w:val="22"/>
              </w:rPr>
              <w:t>Must be amended not less than 48 hours before the ETA at the first Australian port</w:t>
            </w:r>
          </w:p>
        </w:tc>
        <w:tc>
          <w:tcPr>
            <w:tcW w:w="2834" w:type="dxa"/>
          </w:tcPr>
          <w:p>
            <w:pPr>
              <w:pStyle w:val="TableParagraph"/>
              <w:rPr>
                <w:sz w:val="22"/>
              </w:rPr>
            </w:pPr>
            <w:r>
              <w:rPr>
                <w:sz w:val="22"/>
              </w:rPr>
              <w:t>Section 64AB</w:t>
            </w:r>
          </w:p>
        </w:tc>
      </w:tr>
      <w:tr>
        <w:trPr>
          <w:trHeight w:val="1000" w:hRule="atLeast"/>
        </w:trPr>
        <w:tc>
          <w:tcPr>
            <w:tcW w:w="2088" w:type="dxa"/>
            <w:shd w:val="clear" w:color="auto" w:fill="F3F3F3"/>
          </w:tcPr>
          <w:p>
            <w:pPr>
              <w:pStyle w:val="TableParagraph"/>
              <w:spacing w:line="235" w:lineRule="auto" w:before="119"/>
              <w:ind w:right="655"/>
              <w:rPr>
                <w:i/>
                <w:sz w:val="22"/>
              </w:rPr>
            </w:pPr>
            <w:r>
              <w:rPr>
                <w:i/>
                <w:sz w:val="22"/>
              </w:rPr>
              <w:t>Actual Arrival Report</w:t>
            </w:r>
          </w:p>
        </w:tc>
        <w:tc>
          <w:tcPr>
            <w:tcW w:w="4860" w:type="dxa"/>
          </w:tcPr>
          <w:p>
            <w:pPr>
              <w:pStyle w:val="TableParagraph"/>
              <w:spacing w:line="235" w:lineRule="auto" w:before="119"/>
              <w:ind w:right="296"/>
              <w:rPr>
                <w:sz w:val="22"/>
              </w:rPr>
            </w:pPr>
            <w:r>
              <w:rPr>
                <w:sz w:val="22"/>
              </w:rPr>
              <w:t>Within 24 hours of arrival at each Australian port, or before a Certificate of Clearance from that port is issued, whichever occurs first</w:t>
            </w:r>
          </w:p>
        </w:tc>
        <w:tc>
          <w:tcPr>
            <w:tcW w:w="2834" w:type="dxa"/>
          </w:tcPr>
          <w:p>
            <w:pPr>
              <w:pStyle w:val="TableParagraph"/>
              <w:rPr>
                <w:sz w:val="22"/>
              </w:rPr>
            </w:pPr>
            <w:r>
              <w:rPr>
                <w:sz w:val="22"/>
              </w:rPr>
              <w:t>Section 64AA(3)</w:t>
            </w:r>
          </w:p>
        </w:tc>
      </w:tr>
      <w:tr>
        <w:trPr>
          <w:trHeight w:val="1369" w:hRule="atLeast"/>
        </w:trPr>
        <w:tc>
          <w:tcPr>
            <w:tcW w:w="2088" w:type="dxa"/>
            <w:shd w:val="clear" w:color="auto" w:fill="F3F3F3"/>
          </w:tcPr>
          <w:p>
            <w:pPr>
              <w:pStyle w:val="TableParagraph"/>
              <w:jc w:val="both"/>
              <w:rPr>
                <w:i/>
                <w:sz w:val="22"/>
              </w:rPr>
            </w:pPr>
            <w:r>
              <w:rPr>
                <w:i/>
                <w:sz w:val="22"/>
              </w:rPr>
              <w:t>Outturn Report</w:t>
            </w:r>
          </w:p>
          <w:p>
            <w:pPr>
              <w:pStyle w:val="TableParagraph"/>
              <w:spacing w:line="235" w:lineRule="auto" w:before="118"/>
              <w:ind w:right="112"/>
              <w:jc w:val="both"/>
              <w:rPr>
                <w:sz w:val="20"/>
              </w:rPr>
            </w:pPr>
            <w:r>
              <w:rPr>
                <w:sz w:val="20"/>
              </w:rPr>
              <w:t>(</w:t>
            </w:r>
            <w:r>
              <w:rPr>
                <w:sz w:val="22"/>
              </w:rPr>
              <w:t>Non-containerised cargo at the port of discharge</w:t>
            </w:r>
            <w:r>
              <w:rPr>
                <w:sz w:val="20"/>
              </w:rPr>
              <w:t>)</w:t>
            </w:r>
          </w:p>
        </w:tc>
        <w:tc>
          <w:tcPr>
            <w:tcW w:w="4860" w:type="dxa"/>
          </w:tcPr>
          <w:p>
            <w:pPr>
              <w:pStyle w:val="TableParagraph"/>
              <w:rPr>
                <w:sz w:val="22"/>
              </w:rPr>
            </w:pPr>
            <w:r>
              <w:rPr>
                <w:sz w:val="22"/>
              </w:rPr>
              <w:t>Within five days following the discharge</w:t>
            </w:r>
          </w:p>
        </w:tc>
        <w:tc>
          <w:tcPr>
            <w:tcW w:w="2834" w:type="dxa"/>
          </w:tcPr>
          <w:p>
            <w:pPr>
              <w:pStyle w:val="TableParagraph"/>
              <w:rPr>
                <w:sz w:val="22"/>
              </w:rPr>
            </w:pPr>
            <w:r>
              <w:rPr>
                <w:sz w:val="22"/>
              </w:rPr>
              <w:t>Section 64ABAB(3)</w:t>
            </w:r>
          </w:p>
        </w:tc>
      </w:tr>
      <w:tr>
        <w:trPr>
          <w:trHeight w:val="1252" w:hRule="atLeast"/>
        </w:trPr>
        <w:tc>
          <w:tcPr>
            <w:tcW w:w="2088" w:type="dxa"/>
            <w:shd w:val="clear" w:color="auto" w:fill="F3F3F3"/>
          </w:tcPr>
          <w:p>
            <w:pPr>
              <w:pStyle w:val="TableParagraph"/>
              <w:spacing w:line="235" w:lineRule="auto" w:before="119"/>
              <w:ind w:right="239"/>
              <w:rPr>
                <w:i/>
                <w:sz w:val="22"/>
              </w:rPr>
            </w:pPr>
            <w:r>
              <w:rPr>
                <w:i/>
                <w:sz w:val="22"/>
              </w:rPr>
              <w:t>Progressive Discharge Report</w:t>
            </w:r>
          </w:p>
        </w:tc>
        <w:tc>
          <w:tcPr>
            <w:tcW w:w="4860" w:type="dxa"/>
          </w:tcPr>
          <w:p>
            <w:pPr>
              <w:pStyle w:val="TableParagraph"/>
              <w:spacing w:line="235" w:lineRule="auto" w:before="119"/>
              <w:ind w:right="235"/>
              <w:rPr>
                <w:sz w:val="22"/>
              </w:rPr>
            </w:pPr>
            <w:r>
              <w:rPr>
                <w:sz w:val="22"/>
              </w:rPr>
              <w:t>Within three hours of the commencement of discharge of containerised cargo and then at intervals of up to three hours until discharge is complete</w:t>
            </w:r>
          </w:p>
        </w:tc>
        <w:tc>
          <w:tcPr>
            <w:tcW w:w="2834" w:type="dxa"/>
          </w:tcPr>
          <w:p>
            <w:pPr>
              <w:pStyle w:val="TableParagraph"/>
              <w:rPr>
                <w:sz w:val="22"/>
              </w:rPr>
            </w:pPr>
            <w:r>
              <w:rPr>
                <w:sz w:val="22"/>
              </w:rPr>
              <w:t>Section 64ABAB(2)</w:t>
            </w:r>
          </w:p>
        </w:tc>
      </w:tr>
      <w:tr>
        <w:trPr>
          <w:trHeight w:val="1372" w:hRule="atLeast"/>
        </w:trPr>
        <w:tc>
          <w:tcPr>
            <w:tcW w:w="2088" w:type="dxa"/>
            <w:shd w:val="clear" w:color="auto" w:fill="F3F3F3"/>
          </w:tcPr>
          <w:p>
            <w:pPr>
              <w:pStyle w:val="TableParagraph"/>
              <w:spacing w:line="235" w:lineRule="auto" w:before="119"/>
              <w:ind w:right="495"/>
              <w:rPr>
                <w:sz w:val="22"/>
              </w:rPr>
            </w:pPr>
            <w:r>
              <w:rPr>
                <w:i/>
                <w:sz w:val="22"/>
              </w:rPr>
              <w:t>Outturn Report </w:t>
            </w:r>
            <w:r>
              <w:rPr>
                <w:sz w:val="22"/>
              </w:rPr>
              <w:t>(containerised cargo)</w:t>
            </w:r>
          </w:p>
        </w:tc>
        <w:tc>
          <w:tcPr>
            <w:tcW w:w="4860" w:type="dxa"/>
          </w:tcPr>
          <w:p>
            <w:pPr>
              <w:pStyle w:val="TableParagraph"/>
              <w:spacing w:line="235" w:lineRule="auto" w:before="119"/>
              <w:ind w:right="369"/>
              <w:rPr>
                <w:sz w:val="22"/>
              </w:rPr>
            </w:pPr>
            <w:r>
              <w:rPr>
                <w:sz w:val="22"/>
              </w:rPr>
              <w:t>If unpacked, within 24 hours of completion of unpacking</w:t>
            </w:r>
          </w:p>
          <w:p>
            <w:pPr>
              <w:pStyle w:val="TableParagraph"/>
              <w:spacing w:line="232" w:lineRule="auto" w:before="121"/>
              <w:ind w:right="405"/>
              <w:rPr>
                <w:sz w:val="22"/>
              </w:rPr>
            </w:pPr>
            <w:r>
              <w:rPr>
                <w:sz w:val="22"/>
              </w:rPr>
              <w:t>If not unpacked, within 24 hours of receipt at the Customs place</w:t>
            </w:r>
          </w:p>
        </w:tc>
        <w:tc>
          <w:tcPr>
            <w:tcW w:w="2834" w:type="dxa"/>
          </w:tcPr>
          <w:p>
            <w:pPr>
              <w:pStyle w:val="TableParagraph"/>
              <w:spacing w:line="348" w:lineRule="auto"/>
              <w:ind w:right="288"/>
              <w:rPr>
                <w:sz w:val="22"/>
              </w:rPr>
            </w:pPr>
            <w:r>
              <w:rPr>
                <w:sz w:val="22"/>
              </w:rPr>
              <w:t>Section 64ABAB(4)(a)(ii) Section 64ABAB(4)(a)(i)</w:t>
            </w:r>
          </w:p>
        </w:tc>
      </w:tr>
      <w:tr>
        <w:trPr>
          <w:trHeight w:val="2385" w:hRule="atLeast"/>
        </w:trPr>
        <w:tc>
          <w:tcPr>
            <w:tcW w:w="2088" w:type="dxa"/>
            <w:shd w:val="clear" w:color="auto" w:fill="F3F3F3"/>
          </w:tcPr>
          <w:p>
            <w:pPr>
              <w:pStyle w:val="TableParagraph"/>
              <w:rPr>
                <w:i/>
                <w:sz w:val="22"/>
              </w:rPr>
            </w:pPr>
            <w:r>
              <w:rPr>
                <w:i/>
                <w:sz w:val="22"/>
              </w:rPr>
              <w:t>Outturn Report</w:t>
            </w:r>
          </w:p>
          <w:p>
            <w:pPr>
              <w:pStyle w:val="TableParagraph"/>
              <w:spacing w:line="235" w:lineRule="auto" w:before="118"/>
              <w:ind w:right="178"/>
              <w:rPr>
                <w:i/>
                <w:sz w:val="22"/>
              </w:rPr>
            </w:pPr>
            <w:r>
              <w:rPr>
                <w:i/>
                <w:sz w:val="22"/>
              </w:rPr>
              <w:t>(</w:t>
            </w:r>
            <w:r>
              <w:rPr>
                <w:sz w:val="22"/>
              </w:rPr>
              <w:t>Non- Containerised cargo moved from one Customs place to another after initial discharge</w:t>
            </w:r>
            <w:r>
              <w:rPr>
                <w:i/>
                <w:sz w:val="22"/>
              </w:rPr>
              <w:t>)</w:t>
            </w:r>
          </w:p>
        </w:tc>
        <w:tc>
          <w:tcPr>
            <w:tcW w:w="4860" w:type="dxa"/>
          </w:tcPr>
          <w:p>
            <w:pPr>
              <w:pStyle w:val="TableParagraph"/>
              <w:spacing w:line="232" w:lineRule="auto" w:before="121"/>
              <w:ind w:right="283"/>
              <w:rPr>
                <w:sz w:val="22"/>
              </w:rPr>
            </w:pPr>
            <w:r>
              <w:rPr>
                <w:sz w:val="22"/>
              </w:rPr>
              <w:t>The day after the day on which the cargo was received into the Customs place</w:t>
            </w:r>
          </w:p>
        </w:tc>
        <w:tc>
          <w:tcPr>
            <w:tcW w:w="2834" w:type="dxa"/>
          </w:tcPr>
          <w:p>
            <w:pPr>
              <w:pStyle w:val="TableParagraph"/>
              <w:rPr>
                <w:sz w:val="22"/>
              </w:rPr>
            </w:pPr>
            <w:r>
              <w:rPr>
                <w:sz w:val="22"/>
              </w:rPr>
              <w:t>Section 64ABAB(4)(b)(i)</w:t>
            </w:r>
          </w:p>
        </w:tc>
      </w:tr>
    </w:tbl>
    <w:p>
      <w:pPr>
        <w:spacing w:after="0"/>
        <w:rPr>
          <w:sz w:val="22"/>
        </w:rPr>
        <w:sectPr>
          <w:pgSz w:w="11900" w:h="16840"/>
          <w:pgMar w:top="1080" w:bottom="280" w:left="180" w:right="160"/>
        </w:sectPr>
      </w:pPr>
    </w:p>
    <w:p>
      <w:pPr>
        <w:pStyle w:val="Heading2"/>
        <w:spacing w:before="43"/>
        <w:ind w:left="1379" w:right="1240"/>
        <w:jc w:val="center"/>
      </w:pPr>
      <w:r>
        <w:rPr/>
        <w:t>Cargo Reporting Timeframes for Air Cargo</w:t>
      </w:r>
    </w:p>
    <w:p>
      <w:pPr>
        <w:pStyle w:val="BodyText"/>
        <w:rPr>
          <w:b/>
        </w:rPr>
      </w:pPr>
    </w:p>
    <w:p>
      <w:pPr>
        <w:pStyle w:val="BodyText"/>
        <w:spacing w:before="9"/>
        <w:rPr>
          <w:b/>
          <w:sz w:val="18"/>
        </w:rPr>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4860"/>
        <w:gridCol w:w="2880"/>
      </w:tblGrid>
      <w:tr>
        <w:trPr>
          <w:trHeight w:val="1302" w:hRule="atLeast"/>
        </w:trPr>
        <w:tc>
          <w:tcPr>
            <w:tcW w:w="2088" w:type="dxa"/>
            <w:shd w:val="clear" w:color="auto" w:fill="B3B3B3"/>
          </w:tcPr>
          <w:p>
            <w:pPr>
              <w:pStyle w:val="TableParagraph"/>
              <w:spacing w:before="110"/>
              <w:ind w:left="688"/>
              <w:rPr>
                <w:b/>
                <w:sz w:val="22"/>
              </w:rPr>
            </w:pPr>
            <w:r>
              <w:rPr>
                <w:b/>
                <w:sz w:val="22"/>
              </w:rPr>
              <w:t>Report</w:t>
            </w:r>
          </w:p>
        </w:tc>
        <w:tc>
          <w:tcPr>
            <w:tcW w:w="4860" w:type="dxa"/>
            <w:shd w:val="clear" w:color="auto" w:fill="B3B3B3"/>
          </w:tcPr>
          <w:p>
            <w:pPr>
              <w:pStyle w:val="TableParagraph"/>
              <w:spacing w:before="110"/>
              <w:ind w:left="1279"/>
              <w:rPr>
                <w:b/>
                <w:sz w:val="22"/>
              </w:rPr>
            </w:pPr>
            <w:r>
              <w:rPr>
                <w:b/>
                <w:sz w:val="22"/>
              </w:rPr>
              <w:t>Lodgement timeframe</w:t>
            </w:r>
          </w:p>
        </w:tc>
        <w:tc>
          <w:tcPr>
            <w:tcW w:w="2880" w:type="dxa"/>
            <w:shd w:val="clear" w:color="auto" w:fill="B3B3B3"/>
          </w:tcPr>
          <w:p>
            <w:pPr>
              <w:pStyle w:val="TableParagraph"/>
              <w:spacing w:before="110"/>
              <w:ind w:left="225" w:right="218"/>
              <w:jc w:val="center"/>
              <w:rPr>
                <w:b/>
                <w:sz w:val="22"/>
              </w:rPr>
            </w:pPr>
            <w:r>
              <w:rPr>
                <w:b/>
                <w:sz w:val="22"/>
              </w:rPr>
              <w:t>Legislative reference</w:t>
            </w:r>
          </w:p>
          <w:p>
            <w:pPr>
              <w:pStyle w:val="TableParagraph"/>
              <w:spacing w:line="234" w:lineRule="exact" w:before="110"/>
              <w:ind w:left="227" w:right="218"/>
              <w:jc w:val="center"/>
              <w:rPr>
                <w:b/>
                <w:sz w:val="20"/>
              </w:rPr>
            </w:pPr>
            <w:r>
              <w:rPr>
                <w:b/>
                <w:sz w:val="20"/>
              </w:rPr>
              <w:t>All refer to the</w:t>
            </w:r>
          </w:p>
          <w:p>
            <w:pPr>
              <w:pStyle w:val="TableParagraph"/>
              <w:spacing w:line="232" w:lineRule="auto" w:before="1"/>
              <w:ind w:left="227" w:right="218"/>
              <w:jc w:val="center"/>
              <w:rPr>
                <w:b/>
                <w:sz w:val="20"/>
              </w:rPr>
            </w:pPr>
            <w:r>
              <w:rPr>
                <w:rFonts w:ascii="Helvetica-BoldOblique"/>
                <w:b/>
                <w:i/>
                <w:sz w:val="20"/>
              </w:rPr>
              <w:t>Customs Act 1901 </w:t>
            </w:r>
            <w:r>
              <w:rPr>
                <w:b/>
                <w:sz w:val="20"/>
              </w:rPr>
              <w:t>unless otherwise stated</w:t>
            </w:r>
          </w:p>
        </w:tc>
      </w:tr>
      <w:tr>
        <w:trPr>
          <w:trHeight w:val="997" w:hRule="atLeast"/>
        </w:trPr>
        <w:tc>
          <w:tcPr>
            <w:tcW w:w="2088" w:type="dxa"/>
            <w:shd w:val="clear" w:color="auto" w:fill="F3F3F3"/>
          </w:tcPr>
          <w:p>
            <w:pPr>
              <w:pStyle w:val="TableParagraph"/>
              <w:spacing w:line="232" w:lineRule="auto" w:before="121"/>
              <w:ind w:right="239"/>
              <w:rPr>
                <w:i/>
                <w:sz w:val="22"/>
              </w:rPr>
            </w:pPr>
            <w:r>
              <w:rPr>
                <w:i/>
                <w:sz w:val="22"/>
              </w:rPr>
              <w:t>Impending Arrival Report</w:t>
            </w:r>
          </w:p>
        </w:tc>
        <w:tc>
          <w:tcPr>
            <w:tcW w:w="4860" w:type="dxa"/>
          </w:tcPr>
          <w:p>
            <w:pPr>
              <w:pStyle w:val="TableParagraph"/>
              <w:spacing w:line="235" w:lineRule="auto" w:before="119"/>
              <w:ind w:right="197"/>
              <w:rPr>
                <w:sz w:val="22"/>
              </w:rPr>
            </w:pPr>
            <w:r>
              <w:rPr>
                <w:sz w:val="22"/>
              </w:rPr>
              <w:t>Not more than 10 days and not less than three hours before the ETA at the first Australian port.</w:t>
            </w:r>
          </w:p>
        </w:tc>
        <w:tc>
          <w:tcPr>
            <w:tcW w:w="2880" w:type="dxa"/>
          </w:tcPr>
          <w:p>
            <w:pPr>
              <w:pStyle w:val="TableParagraph"/>
              <w:rPr>
                <w:sz w:val="22"/>
              </w:rPr>
            </w:pPr>
            <w:r>
              <w:rPr>
                <w:sz w:val="22"/>
              </w:rPr>
              <w:t>Section 64(7) and 64(8)</w:t>
            </w:r>
          </w:p>
        </w:tc>
      </w:tr>
      <w:tr>
        <w:trPr>
          <w:trHeight w:val="745" w:hRule="atLeast"/>
        </w:trPr>
        <w:tc>
          <w:tcPr>
            <w:tcW w:w="2088" w:type="dxa"/>
            <w:shd w:val="clear" w:color="auto" w:fill="F3F3F3"/>
          </w:tcPr>
          <w:p>
            <w:pPr>
              <w:pStyle w:val="TableParagraph"/>
              <w:rPr>
                <w:i/>
                <w:sz w:val="22"/>
              </w:rPr>
            </w:pPr>
            <w:r>
              <w:rPr>
                <w:i/>
                <w:sz w:val="22"/>
              </w:rPr>
              <w:t>Cargo Report</w:t>
            </w:r>
          </w:p>
        </w:tc>
        <w:tc>
          <w:tcPr>
            <w:tcW w:w="4860" w:type="dxa"/>
          </w:tcPr>
          <w:p>
            <w:pPr>
              <w:pStyle w:val="TableParagraph"/>
              <w:spacing w:line="235" w:lineRule="auto" w:before="119"/>
              <w:ind w:right="271"/>
              <w:rPr>
                <w:sz w:val="22"/>
              </w:rPr>
            </w:pPr>
            <w:r>
              <w:rPr>
                <w:sz w:val="22"/>
              </w:rPr>
              <w:t>Not less than two hours before the ETA at the first Australian port</w:t>
            </w:r>
          </w:p>
        </w:tc>
        <w:tc>
          <w:tcPr>
            <w:tcW w:w="2880" w:type="dxa"/>
          </w:tcPr>
          <w:p>
            <w:pPr>
              <w:pStyle w:val="TableParagraph"/>
              <w:rPr>
                <w:sz w:val="22"/>
              </w:rPr>
            </w:pPr>
            <w:r>
              <w:rPr>
                <w:sz w:val="22"/>
              </w:rPr>
              <w:t>Section 64AB(8)</w:t>
            </w:r>
          </w:p>
        </w:tc>
      </w:tr>
      <w:tr>
        <w:trPr>
          <w:trHeight w:val="1000" w:hRule="atLeast"/>
        </w:trPr>
        <w:tc>
          <w:tcPr>
            <w:tcW w:w="2088" w:type="dxa"/>
            <w:shd w:val="clear" w:color="auto" w:fill="F3F3F3"/>
          </w:tcPr>
          <w:p>
            <w:pPr>
              <w:pStyle w:val="TableParagraph"/>
              <w:spacing w:line="235" w:lineRule="auto" w:before="119"/>
              <w:ind w:right="655"/>
              <w:rPr>
                <w:i/>
                <w:sz w:val="22"/>
              </w:rPr>
            </w:pPr>
            <w:r>
              <w:rPr>
                <w:i/>
                <w:sz w:val="22"/>
              </w:rPr>
              <w:t>Actual Arrival Report</w:t>
            </w:r>
          </w:p>
        </w:tc>
        <w:tc>
          <w:tcPr>
            <w:tcW w:w="4860" w:type="dxa"/>
          </w:tcPr>
          <w:p>
            <w:pPr>
              <w:pStyle w:val="TableParagraph"/>
              <w:spacing w:line="235" w:lineRule="auto" w:before="119"/>
              <w:ind w:right="210"/>
              <w:rPr>
                <w:sz w:val="22"/>
              </w:rPr>
            </w:pPr>
            <w:r>
              <w:rPr>
                <w:sz w:val="22"/>
              </w:rPr>
              <w:t>Within three hours of arrival at each Australian port, or before a Certificate of Clearance from that port is issued, whichever occurs first</w:t>
            </w:r>
          </w:p>
        </w:tc>
        <w:tc>
          <w:tcPr>
            <w:tcW w:w="2880" w:type="dxa"/>
          </w:tcPr>
          <w:p>
            <w:pPr>
              <w:pStyle w:val="TableParagraph"/>
              <w:rPr>
                <w:sz w:val="22"/>
              </w:rPr>
            </w:pPr>
            <w:r>
              <w:rPr>
                <w:sz w:val="22"/>
              </w:rPr>
              <w:t>Section 64AA(3)</w:t>
            </w:r>
          </w:p>
        </w:tc>
      </w:tr>
      <w:tr>
        <w:trPr>
          <w:trHeight w:val="491" w:hRule="atLeast"/>
        </w:trPr>
        <w:tc>
          <w:tcPr>
            <w:tcW w:w="2088" w:type="dxa"/>
            <w:shd w:val="clear" w:color="auto" w:fill="F3F3F3"/>
          </w:tcPr>
          <w:p>
            <w:pPr>
              <w:pStyle w:val="TableParagraph"/>
              <w:rPr>
                <w:i/>
                <w:sz w:val="22"/>
              </w:rPr>
            </w:pPr>
            <w:r>
              <w:rPr>
                <w:i/>
                <w:sz w:val="22"/>
              </w:rPr>
              <w:t>Outturn Report</w:t>
            </w:r>
          </w:p>
        </w:tc>
        <w:tc>
          <w:tcPr>
            <w:tcW w:w="4860" w:type="dxa"/>
          </w:tcPr>
          <w:p>
            <w:pPr>
              <w:pStyle w:val="TableParagraph"/>
              <w:rPr>
                <w:sz w:val="22"/>
              </w:rPr>
            </w:pPr>
            <w:r>
              <w:rPr>
                <w:sz w:val="22"/>
              </w:rPr>
              <w:t>Within 24 hours of the arrival of the aircraft</w:t>
            </w:r>
          </w:p>
        </w:tc>
        <w:tc>
          <w:tcPr>
            <w:tcW w:w="2880" w:type="dxa"/>
          </w:tcPr>
          <w:p>
            <w:pPr>
              <w:pStyle w:val="TableParagraph"/>
              <w:rPr>
                <w:sz w:val="22"/>
              </w:rPr>
            </w:pPr>
            <w:r>
              <w:rPr>
                <w:sz w:val="22"/>
              </w:rPr>
              <w:t>Section 64ABAB(1)</w:t>
            </w:r>
          </w:p>
        </w:tc>
      </w:tr>
      <w:tr>
        <w:trPr>
          <w:trHeight w:val="1372" w:hRule="atLeast"/>
        </w:trPr>
        <w:tc>
          <w:tcPr>
            <w:tcW w:w="2088" w:type="dxa"/>
            <w:shd w:val="clear" w:color="auto" w:fill="F3F3F3"/>
          </w:tcPr>
          <w:p>
            <w:pPr>
              <w:pStyle w:val="TableParagraph"/>
              <w:rPr>
                <w:i/>
                <w:sz w:val="22"/>
              </w:rPr>
            </w:pPr>
            <w:r>
              <w:rPr>
                <w:i/>
                <w:sz w:val="22"/>
              </w:rPr>
              <w:t>Outturn Report</w:t>
            </w:r>
          </w:p>
        </w:tc>
        <w:tc>
          <w:tcPr>
            <w:tcW w:w="4860" w:type="dxa"/>
          </w:tcPr>
          <w:p>
            <w:pPr>
              <w:pStyle w:val="TableParagraph"/>
              <w:spacing w:line="235" w:lineRule="auto" w:before="119"/>
              <w:ind w:right="369"/>
              <w:rPr>
                <w:sz w:val="22"/>
              </w:rPr>
            </w:pPr>
            <w:r>
              <w:rPr>
                <w:sz w:val="22"/>
              </w:rPr>
              <w:t>If unpacked, within 24 hours of completion of unpacking.</w:t>
            </w:r>
          </w:p>
          <w:p>
            <w:pPr>
              <w:pStyle w:val="TableParagraph"/>
              <w:spacing w:line="235" w:lineRule="auto" w:before="119"/>
              <w:ind w:right="405"/>
              <w:rPr>
                <w:sz w:val="22"/>
              </w:rPr>
            </w:pPr>
            <w:r>
              <w:rPr>
                <w:sz w:val="22"/>
              </w:rPr>
              <w:t>If not unpacked, within 24 hours of receipt at the Customs place</w:t>
            </w:r>
          </w:p>
        </w:tc>
        <w:tc>
          <w:tcPr>
            <w:tcW w:w="2880" w:type="dxa"/>
          </w:tcPr>
          <w:p>
            <w:pPr>
              <w:pStyle w:val="TableParagraph"/>
              <w:rPr>
                <w:sz w:val="22"/>
              </w:rPr>
            </w:pPr>
            <w:r>
              <w:rPr>
                <w:sz w:val="22"/>
              </w:rPr>
              <w:t>Section 64ABAB(4)(a)(ii)</w:t>
            </w:r>
          </w:p>
          <w:p>
            <w:pPr>
              <w:pStyle w:val="TableParagraph"/>
              <w:spacing w:before="0"/>
              <w:ind w:left="0"/>
              <w:rPr>
                <w:b/>
                <w:sz w:val="22"/>
              </w:rPr>
            </w:pPr>
          </w:p>
          <w:p>
            <w:pPr>
              <w:pStyle w:val="TableParagraph"/>
              <w:spacing w:before="11"/>
              <w:ind w:left="0"/>
              <w:rPr>
                <w:b/>
                <w:sz w:val="18"/>
              </w:rPr>
            </w:pPr>
          </w:p>
          <w:p>
            <w:pPr>
              <w:pStyle w:val="TableParagraph"/>
              <w:spacing w:before="1"/>
              <w:rPr>
                <w:sz w:val="22"/>
              </w:rPr>
            </w:pPr>
            <w:r>
              <w:rPr>
                <w:sz w:val="22"/>
              </w:rPr>
              <w:t>Section 64ABAB(4)(a)(i)</w:t>
            </w:r>
          </w:p>
        </w:tc>
      </w:tr>
    </w:tbl>
    <w:p>
      <w:pPr>
        <w:pStyle w:val="BodyText"/>
        <w:rPr>
          <w:b/>
        </w:rPr>
      </w:pPr>
    </w:p>
    <w:p>
      <w:pPr>
        <w:pStyle w:val="BodyText"/>
        <w:spacing w:before="10"/>
        <w:rPr>
          <w:b/>
          <w:sz w:val="17"/>
        </w:rPr>
      </w:pPr>
    </w:p>
    <w:p>
      <w:pPr>
        <w:spacing w:before="0"/>
        <w:ind w:left="1379" w:right="1242" w:firstLine="0"/>
        <w:jc w:val="center"/>
        <w:rPr>
          <w:b/>
          <w:sz w:val="20"/>
        </w:rPr>
      </w:pPr>
      <w:r>
        <w:rPr>
          <w:b/>
          <w:sz w:val="20"/>
        </w:rPr>
        <w:t>Declaration and Statement Timeframes</w:t>
      </w:r>
    </w:p>
    <w:p>
      <w:pPr>
        <w:pStyle w:val="BodyText"/>
        <w:spacing w:before="5"/>
        <w:rPr>
          <w:b/>
          <w:sz w:val="19"/>
        </w:rPr>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4860"/>
        <w:gridCol w:w="2880"/>
      </w:tblGrid>
      <w:tr>
        <w:trPr>
          <w:trHeight w:val="1302" w:hRule="atLeast"/>
        </w:trPr>
        <w:tc>
          <w:tcPr>
            <w:tcW w:w="2088" w:type="dxa"/>
            <w:shd w:val="clear" w:color="auto" w:fill="B3B3B3"/>
          </w:tcPr>
          <w:p>
            <w:pPr>
              <w:pStyle w:val="TableParagraph"/>
              <w:spacing w:before="110"/>
              <w:ind w:left="688"/>
              <w:rPr>
                <w:b/>
                <w:sz w:val="22"/>
              </w:rPr>
            </w:pPr>
            <w:r>
              <w:rPr>
                <w:b/>
                <w:sz w:val="22"/>
              </w:rPr>
              <w:t>Report</w:t>
            </w:r>
          </w:p>
        </w:tc>
        <w:tc>
          <w:tcPr>
            <w:tcW w:w="4860" w:type="dxa"/>
            <w:shd w:val="clear" w:color="auto" w:fill="B3B3B3"/>
          </w:tcPr>
          <w:p>
            <w:pPr>
              <w:pStyle w:val="TableParagraph"/>
              <w:spacing w:before="110"/>
              <w:ind w:left="1279"/>
              <w:rPr>
                <w:b/>
                <w:sz w:val="22"/>
              </w:rPr>
            </w:pPr>
            <w:r>
              <w:rPr>
                <w:b/>
                <w:sz w:val="22"/>
              </w:rPr>
              <w:t>Lodgement timeframe</w:t>
            </w:r>
          </w:p>
        </w:tc>
        <w:tc>
          <w:tcPr>
            <w:tcW w:w="2880" w:type="dxa"/>
            <w:shd w:val="clear" w:color="auto" w:fill="B3B3B3"/>
          </w:tcPr>
          <w:p>
            <w:pPr>
              <w:pStyle w:val="TableParagraph"/>
              <w:spacing w:before="110"/>
              <w:ind w:left="225" w:right="218"/>
              <w:jc w:val="center"/>
              <w:rPr>
                <w:b/>
                <w:sz w:val="22"/>
              </w:rPr>
            </w:pPr>
            <w:r>
              <w:rPr>
                <w:b/>
                <w:sz w:val="22"/>
              </w:rPr>
              <w:t>Legislative reference</w:t>
            </w:r>
          </w:p>
          <w:p>
            <w:pPr>
              <w:pStyle w:val="TableParagraph"/>
              <w:spacing w:line="234" w:lineRule="exact" w:before="110"/>
              <w:ind w:left="227" w:right="218"/>
              <w:jc w:val="center"/>
              <w:rPr>
                <w:b/>
                <w:sz w:val="20"/>
              </w:rPr>
            </w:pPr>
            <w:r>
              <w:rPr>
                <w:b/>
                <w:sz w:val="20"/>
              </w:rPr>
              <w:t>All refer to the</w:t>
            </w:r>
          </w:p>
          <w:p>
            <w:pPr>
              <w:pStyle w:val="TableParagraph"/>
              <w:spacing w:line="232" w:lineRule="auto" w:before="1"/>
              <w:ind w:left="227" w:right="218"/>
              <w:jc w:val="center"/>
              <w:rPr>
                <w:b/>
                <w:sz w:val="20"/>
              </w:rPr>
            </w:pPr>
            <w:r>
              <w:rPr>
                <w:rFonts w:ascii="Helvetica-BoldOblique"/>
                <w:b/>
                <w:i/>
                <w:sz w:val="20"/>
              </w:rPr>
              <w:t>Customs Act 1901 </w:t>
            </w:r>
            <w:r>
              <w:rPr>
                <w:b/>
                <w:sz w:val="20"/>
              </w:rPr>
              <w:t>unless otherwise stated</w:t>
            </w:r>
          </w:p>
        </w:tc>
      </w:tr>
      <w:tr>
        <w:trPr>
          <w:trHeight w:val="1369" w:hRule="atLeast"/>
        </w:trPr>
        <w:tc>
          <w:tcPr>
            <w:tcW w:w="2088" w:type="dxa"/>
            <w:shd w:val="clear" w:color="auto" w:fill="F3F3F3"/>
          </w:tcPr>
          <w:p>
            <w:pPr>
              <w:pStyle w:val="TableParagraph"/>
              <w:rPr>
                <w:i/>
                <w:sz w:val="22"/>
              </w:rPr>
            </w:pPr>
            <w:r>
              <w:rPr>
                <w:i/>
                <w:sz w:val="22"/>
              </w:rPr>
              <w:t>Import Entries</w:t>
            </w:r>
          </w:p>
          <w:p>
            <w:pPr>
              <w:pStyle w:val="TableParagraph"/>
              <w:spacing w:line="235" w:lineRule="auto" w:before="118"/>
              <w:ind w:right="654"/>
              <w:rPr>
                <w:i/>
                <w:sz w:val="22"/>
              </w:rPr>
            </w:pPr>
            <w:r>
              <w:rPr>
                <w:i/>
                <w:sz w:val="22"/>
              </w:rPr>
              <w:t>(Import and Warehouse Declarations)</w:t>
            </w:r>
          </w:p>
        </w:tc>
        <w:tc>
          <w:tcPr>
            <w:tcW w:w="4860" w:type="dxa"/>
          </w:tcPr>
          <w:p>
            <w:pPr>
              <w:pStyle w:val="TableParagraph"/>
              <w:spacing w:line="232" w:lineRule="auto" w:before="121"/>
              <w:ind w:right="137"/>
              <w:rPr>
                <w:sz w:val="22"/>
              </w:rPr>
            </w:pPr>
            <w:r>
              <w:rPr>
                <w:sz w:val="22"/>
              </w:rPr>
              <w:t>Lodged by the end of the next working day of Customs, following the day on which the goods were imported.</w:t>
            </w:r>
          </w:p>
        </w:tc>
        <w:tc>
          <w:tcPr>
            <w:tcW w:w="2880" w:type="dxa"/>
          </w:tcPr>
          <w:p>
            <w:pPr>
              <w:pStyle w:val="TableParagraph"/>
              <w:spacing w:line="255" w:lineRule="exact"/>
              <w:rPr>
                <w:sz w:val="22"/>
              </w:rPr>
            </w:pPr>
            <w:r>
              <w:rPr>
                <w:sz w:val="22"/>
              </w:rPr>
              <w:t>Regulation 43 of the</w:t>
            </w:r>
          </w:p>
          <w:p>
            <w:pPr>
              <w:pStyle w:val="TableParagraph"/>
              <w:spacing w:line="255" w:lineRule="exact" w:before="0"/>
              <w:rPr>
                <w:i/>
                <w:sz w:val="22"/>
              </w:rPr>
            </w:pPr>
            <w:r>
              <w:rPr>
                <w:i/>
                <w:sz w:val="22"/>
              </w:rPr>
              <w:t>Customs Regulations 1926</w:t>
            </w:r>
          </w:p>
        </w:tc>
      </w:tr>
      <w:tr>
        <w:trPr>
          <w:trHeight w:val="1878" w:hRule="atLeast"/>
        </w:trPr>
        <w:tc>
          <w:tcPr>
            <w:tcW w:w="2088" w:type="dxa"/>
            <w:shd w:val="clear" w:color="auto" w:fill="F3F3F3"/>
          </w:tcPr>
          <w:p>
            <w:pPr>
              <w:pStyle w:val="TableParagraph"/>
              <w:spacing w:line="235" w:lineRule="auto" w:before="119"/>
              <w:ind w:right="556"/>
              <w:rPr>
                <w:i/>
                <w:sz w:val="22"/>
              </w:rPr>
            </w:pPr>
            <w:r>
              <w:rPr>
                <w:i/>
                <w:sz w:val="22"/>
              </w:rPr>
              <w:t>Self Assessed Clearance Declaration</w:t>
            </w:r>
          </w:p>
        </w:tc>
        <w:tc>
          <w:tcPr>
            <w:tcW w:w="4860" w:type="dxa"/>
          </w:tcPr>
          <w:p>
            <w:pPr>
              <w:pStyle w:val="TableParagraph"/>
              <w:spacing w:line="235" w:lineRule="auto" w:before="119"/>
              <w:ind w:right="88"/>
              <w:rPr>
                <w:sz w:val="22"/>
              </w:rPr>
            </w:pPr>
            <w:r>
              <w:rPr>
                <w:sz w:val="22"/>
              </w:rPr>
              <w:t>If a SAC is being submitted at the same time as the Cargo Report via the SAC indicator, timelines for Cargo Reports apply.</w:t>
            </w:r>
          </w:p>
          <w:p>
            <w:pPr>
              <w:pStyle w:val="TableParagraph"/>
              <w:spacing w:line="235" w:lineRule="auto" w:before="120"/>
              <w:ind w:right="96"/>
              <w:rPr>
                <w:sz w:val="22"/>
              </w:rPr>
            </w:pPr>
            <w:r>
              <w:rPr>
                <w:sz w:val="22"/>
              </w:rPr>
              <w:t>If a SAC is not being submitted at the same time as the Cargo Report via the SAC indicator, no timeframe applies.</w:t>
            </w:r>
          </w:p>
        </w:tc>
        <w:tc>
          <w:tcPr>
            <w:tcW w:w="2880" w:type="dxa"/>
          </w:tcPr>
          <w:p>
            <w:pPr>
              <w:pStyle w:val="TableParagraph"/>
              <w:spacing w:line="235" w:lineRule="auto" w:before="119"/>
              <w:ind w:right="105"/>
              <w:rPr>
                <w:sz w:val="22"/>
              </w:rPr>
            </w:pPr>
            <w:r>
              <w:rPr>
                <w:sz w:val="22"/>
              </w:rPr>
              <w:t>Section 71AAAF(3) - in reference to a SAC may be communicated with a cargo report. See previous tables for cargo report timeframes.</w:t>
            </w:r>
          </w:p>
        </w:tc>
      </w:tr>
      <w:tr>
        <w:trPr>
          <w:trHeight w:val="1624" w:hRule="atLeast"/>
        </w:trPr>
        <w:tc>
          <w:tcPr>
            <w:tcW w:w="2088" w:type="dxa"/>
            <w:shd w:val="clear" w:color="auto" w:fill="F3F3F3"/>
          </w:tcPr>
          <w:p>
            <w:pPr>
              <w:pStyle w:val="TableParagraph"/>
              <w:spacing w:line="235" w:lineRule="auto" w:before="119"/>
              <w:ind w:right="362"/>
              <w:jc w:val="both"/>
              <w:rPr>
                <w:i/>
                <w:sz w:val="22"/>
              </w:rPr>
            </w:pPr>
            <w:r>
              <w:rPr>
                <w:i/>
                <w:sz w:val="22"/>
              </w:rPr>
              <w:t>Unaccompanied Personal Effects Statement</w:t>
            </w:r>
          </w:p>
          <w:p>
            <w:pPr>
              <w:pStyle w:val="TableParagraph"/>
              <w:spacing w:line="235" w:lineRule="auto" w:before="118"/>
              <w:ind w:right="133"/>
              <w:jc w:val="both"/>
              <w:rPr>
                <w:i/>
                <w:sz w:val="22"/>
              </w:rPr>
            </w:pPr>
            <w:r>
              <w:rPr>
                <w:i/>
                <w:sz w:val="22"/>
              </w:rPr>
              <w:t>(UPE is statement, not a declaration)</w:t>
            </w:r>
          </w:p>
        </w:tc>
        <w:tc>
          <w:tcPr>
            <w:tcW w:w="4860" w:type="dxa"/>
          </w:tcPr>
          <w:p>
            <w:pPr>
              <w:pStyle w:val="TableParagraph"/>
              <w:rPr>
                <w:sz w:val="22"/>
              </w:rPr>
            </w:pPr>
            <w:r>
              <w:rPr>
                <w:sz w:val="22"/>
              </w:rPr>
              <w:t>No timeframe applies.</w:t>
            </w:r>
          </w:p>
        </w:tc>
        <w:tc>
          <w:tcPr>
            <w:tcW w:w="2880" w:type="dxa"/>
          </w:tcPr>
          <w:p>
            <w:pPr>
              <w:pStyle w:val="TableParagraph"/>
              <w:spacing w:before="0"/>
              <w:ind w:left="0"/>
              <w:rPr>
                <w:rFonts w:ascii="Times New Roman"/>
                <w:sz w:val="20"/>
              </w:rPr>
            </w:pPr>
          </w:p>
        </w:tc>
      </w:tr>
    </w:tbl>
    <w:p>
      <w:pPr>
        <w:pStyle w:val="BodyText"/>
        <w:spacing w:before="2"/>
        <w:rPr>
          <w:b/>
          <w:sz w:val="19"/>
        </w:rPr>
      </w:pPr>
    </w:p>
    <w:p>
      <w:pPr>
        <w:pStyle w:val="BodyText"/>
        <w:spacing w:line="235" w:lineRule="auto"/>
        <w:ind w:left="1259" w:right="1331"/>
      </w:pPr>
      <w:r>
        <w:rPr/>
        <w:t>Note: This does not include clearance arrangements for special clearance goods or excise equivalent goods.</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BoldOblique">
    <w:altName w:val="Helvetica-BoldOblique"/>
    <w:charset w:val="0"/>
    <w:family w:val="swiss"/>
    <w:pitch w:val="variable"/>
  </w:font>
  <w:font w:name="Helvetica">
    <w:altName w:val="Helvetica"/>
    <w:charset w:val="0"/>
    <w:family w:val="swiss"/>
    <w:pitch w:val="variable"/>
  </w:font>
  <w:font w:name="Symbol">
    <w:altName w:val="Symbol"/>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979" w:hanging="360"/>
      </w:pPr>
      <w:rPr>
        <w:rFonts w:hint="default" w:ascii="Times New Roman" w:hAnsi="Times New Roman" w:eastAsia="Times New Roman" w:cs="Times New Roman"/>
        <w:w w:val="99"/>
        <w:sz w:val="20"/>
        <w:szCs w:val="20"/>
      </w:rPr>
    </w:lvl>
    <w:lvl w:ilvl="1">
      <w:start w:val="0"/>
      <w:numFmt w:val="bullet"/>
      <w:lvlText w:val="•"/>
      <w:lvlJc w:val="left"/>
      <w:pPr>
        <w:ind w:left="2938" w:hanging="360"/>
      </w:pPr>
      <w:rPr>
        <w:rFonts w:hint="default"/>
      </w:rPr>
    </w:lvl>
    <w:lvl w:ilvl="2">
      <w:start w:val="0"/>
      <w:numFmt w:val="bullet"/>
      <w:lvlText w:val="•"/>
      <w:lvlJc w:val="left"/>
      <w:pPr>
        <w:ind w:left="3896" w:hanging="360"/>
      </w:pPr>
      <w:rPr>
        <w:rFonts w:hint="default"/>
      </w:rPr>
    </w:lvl>
    <w:lvl w:ilvl="3">
      <w:start w:val="0"/>
      <w:numFmt w:val="bullet"/>
      <w:lvlText w:val="•"/>
      <w:lvlJc w:val="left"/>
      <w:pPr>
        <w:ind w:left="4854" w:hanging="360"/>
      </w:pPr>
      <w:rPr>
        <w:rFonts w:hint="default"/>
      </w:rPr>
    </w:lvl>
    <w:lvl w:ilvl="4">
      <w:start w:val="0"/>
      <w:numFmt w:val="bullet"/>
      <w:lvlText w:val="•"/>
      <w:lvlJc w:val="left"/>
      <w:pPr>
        <w:ind w:left="5812" w:hanging="360"/>
      </w:pPr>
      <w:rPr>
        <w:rFonts w:hint="default"/>
      </w:rPr>
    </w:lvl>
    <w:lvl w:ilvl="5">
      <w:start w:val="0"/>
      <w:numFmt w:val="bullet"/>
      <w:lvlText w:val="•"/>
      <w:lvlJc w:val="left"/>
      <w:pPr>
        <w:ind w:left="6770" w:hanging="360"/>
      </w:pPr>
      <w:rPr>
        <w:rFonts w:hint="default"/>
      </w:rPr>
    </w:lvl>
    <w:lvl w:ilvl="6">
      <w:start w:val="0"/>
      <w:numFmt w:val="bullet"/>
      <w:lvlText w:val="•"/>
      <w:lvlJc w:val="left"/>
      <w:pPr>
        <w:ind w:left="7728" w:hanging="360"/>
      </w:pPr>
      <w:rPr>
        <w:rFonts w:hint="default"/>
      </w:rPr>
    </w:lvl>
    <w:lvl w:ilvl="7">
      <w:start w:val="0"/>
      <w:numFmt w:val="bullet"/>
      <w:lvlText w:val="•"/>
      <w:lvlJc w:val="left"/>
      <w:pPr>
        <w:ind w:left="8686" w:hanging="360"/>
      </w:pPr>
      <w:rPr>
        <w:rFonts w:hint="default"/>
      </w:rPr>
    </w:lvl>
    <w:lvl w:ilvl="8">
      <w:start w:val="0"/>
      <w:numFmt w:val="bullet"/>
      <w:lvlText w:val="•"/>
      <w:lvlJc w:val="left"/>
      <w:pPr>
        <w:ind w:left="9644" w:hanging="360"/>
      </w:pPr>
      <w:rPr>
        <w:rFonts w:hint="default"/>
      </w:rPr>
    </w:lvl>
  </w:abstractNum>
  <w:abstractNum w:abstractNumId="1">
    <w:multiLevelType w:val="hybridMultilevel"/>
    <w:lvl w:ilvl="0">
      <w:start w:val="0"/>
      <w:numFmt w:val="bullet"/>
      <w:lvlText w:val="■"/>
      <w:lvlJc w:val="left"/>
      <w:pPr>
        <w:ind w:left="2039" w:hanging="360"/>
      </w:pPr>
      <w:rPr>
        <w:rFonts w:hint="default" w:ascii="Arial" w:hAnsi="Arial" w:eastAsia="Arial" w:cs="Arial"/>
        <w:w w:val="75"/>
        <w:sz w:val="20"/>
        <w:szCs w:val="20"/>
      </w:rPr>
    </w:lvl>
    <w:lvl w:ilvl="1">
      <w:start w:val="0"/>
      <w:numFmt w:val="bullet"/>
      <w:lvlText w:val="•"/>
      <w:lvlJc w:val="left"/>
      <w:pPr>
        <w:ind w:left="2992" w:hanging="360"/>
      </w:pPr>
      <w:rPr>
        <w:rFonts w:hint="default"/>
      </w:rPr>
    </w:lvl>
    <w:lvl w:ilvl="2">
      <w:start w:val="0"/>
      <w:numFmt w:val="bullet"/>
      <w:lvlText w:val="•"/>
      <w:lvlJc w:val="left"/>
      <w:pPr>
        <w:ind w:left="3944" w:hanging="360"/>
      </w:pPr>
      <w:rPr>
        <w:rFonts w:hint="default"/>
      </w:rPr>
    </w:lvl>
    <w:lvl w:ilvl="3">
      <w:start w:val="0"/>
      <w:numFmt w:val="bullet"/>
      <w:lvlText w:val="•"/>
      <w:lvlJc w:val="left"/>
      <w:pPr>
        <w:ind w:left="4896" w:hanging="360"/>
      </w:pPr>
      <w:rPr>
        <w:rFonts w:hint="default"/>
      </w:rPr>
    </w:lvl>
    <w:lvl w:ilvl="4">
      <w:start w:val="0"/>
      <w:numFmt w:val="bullet"/>
      <w:lvlText w:val="•"/>
      <w:lvlJc w:val="left"/>
      <w:pPr>
        <w:ind w:left="5848" w:hanging="360"/>
      </w:pPr>
      <w:rPr>
        <w:rFonts w:hint="default"/>
      </w:rPr>
    </w:lvl>
    <w:lvl w:ilvl="5">
      <w:start w:val="0"/>
      <w:numFmt w:val="bullet"/>
      <w:lvlText w:val="•"/>
      <w:lvlJc w:val="left"/>
      <w:pPr>
        <w:ind w:left="6800" w:hanging="360"/>
      </w:pPr>
      <w:rPr>
        <w:rFonts w:hint="default"/>
      </w:rPr>
    </w:lvl>
    <w:lvl w:ilvl="6">
      <w:start w:val="0"/>
      <w:numFmt w:val="bullet"/>
      <w:lvlText w:val="•"/>
      <w:lvlJc w:val="left"/>
      <w:pPr>
        <w:ind w:left="7752" w:hanging="360"/>
      </w:pPr>
      <w:rPr>
        <w:rFonts w:hint="default"/>
      </w:rPr>
    </w:lvl>
    <w:lvl w:ilvl="7">
      <w:start w:val="0"/>
      <w:numFmt w:val="bullet"/>
      <w:lvlText w:val="•"/>
      <w:lvlJc w:val="left"/>
      <w:pPr>
        <w:ind w:left="8704" w:hanging="360"/>
      </w:pPr>
      <w:rPr>
        <w:rFonts w:hint="default"/>
      </w:rPr>
    </w:lvl>
    <w:lvl w:ilvl="8">
      <w:start w:val="0"/>
      <w:numFmt w:val="bullet"/>
      <w:lvlText w:val="•"/>
      <w:lvlJc w:val="left"/>
      <w:pPr>
        <w:ind w:left="9656" w:hanging="360"/>
      </w:pPr>
      <w:rPr>
        <w:rFonts w:hint="default"/>
      </w:rPr>
    </w:lvl>
  </w:abstractNum>
  <w:abstractNum w:abstractNumId="0">
    <w:multiLevelType w:val="hybridMultilevel"/>
    <w:lvl w:ilvl="0">
      <w:start w:val="0"/>
      <w:numFmt w:val="bullet"/>
      <w:lvlText w:val="•"/>
      <w:lvlJc w:val="left"/>
      <w:pPr>
        <w:ind w:left="1980" w:hanging="360"/>
      </w:pPr>
      <w:rPr>
        <w:rFonts w:hint="default" w:ascii="Symbol" w:hAnsi="Symbol" w:eastAsia="Symbol" w:cs="Symbol"/>
        <w:w w:val="99"/>
        <w:sz w:val="20"/>
        <w:szCs w:val="20"/>
      </w:rPr>
    </w:lvl>
    <w:lvl w:ilvl="1">
      <w:start w:val="0"/>
      <w:numFmt w:val="bullet"/>
      <w:lvlText w:val="•"/>
      <w:lvlJc w:val="left"/>
      <w:pPr>
        <w:ind w:left="2938" w:hanging="360"/>
      </w:pPr>
      <w:rPr>
        <w:rFonts w:hint="default"/>
      </w:rPr>
    </w:lvl>
    <w:lvl w:ilvl="2">
      <w:start w:val="0"/>
      <w:numFmt w:val="bullet"/>
      <w:lvlText w:val="•"/>
      <w:lvlJc w:val="left"/>
      <w:pPr>
        <w:ind w:left="3896" w:hanging="360"/>
      </w:pPr>
      <w:rPr>
        <w:rFonts w:hint="default"/>
      </w:rPr>
    </w:lvl>
    <w:lvl w:ilvl="3">
      <w:start w:val="0"/>
      <w:numFmt w:val="bullet"/>
      <w:lvlText w:val="•"/>
      <w:lvlJc w:val="left"/>
      <w:pPr>
        <w:ind w:left="4854" w:hanging="360"/>
      </w:pPr>
      <w:rPr>
        <w:rFonts w:hint="default"/>
      </w:rPr>
    </w:lvl>
    <w:lvl w:ilvl="4">
      <w:start w:val="0"/>
      <w:numFmt w:val="bullet"/>
      <w:lvlText w:val="•"/>
      <w:lvlJc w:val="left"/>
      <w:pPr>
        <w:ind w:left="5812" w:hanging="360"/>
      </w:pPr>
      <w:rPr>
        <w:rFonts w:hint="default"/>
      </w:rPr>
    </w:lvl>
    <w:lvl w:ilvl="5">
      <w:start w:val="0"/>
      <w:numFmt w:val="bullet"/>
      <w:lvlText w:val="•"/>
      <w:lvlJc w:val="left"/>
      <w:pPr>
        <w:ind w:left="6770" w:hanging="360"/>
      </w:pPr>
      <w:rPr>
        <w:rFonts w:hint="default"/>
      </w:rPr>
    </w:lvl>
    <w:lvl w:ilvl="6">
      <w:start w:val="0"/>
      <w:numFmt w:val="bullet"/>
      <w:lvlText w:val="•"/>
      <w:lvlJc w:val="left"/>
      <w:pPr>
        <w:ind w:left="7728" w:hanging="360"/>
      </w:pPr>
      <w:rPr>
        <w:rFonts w:hint="default"/>
      </w:rPr>
    </w:lvl>
    <w:lvl w:ilvl="7">
      <w:start w:val="0"/>
      <w:numFmt w:val="bullet"/>
      <w:lvlText w:val="•"/>
      <w:lvlJc w:val="left"/>
      <w:pPr>
        <w:ind w:left="8686" w:hanging="360"/>
      </w:pPr>
      <w:rPr>
        <w:rFonts w:hint="default"/>
      </w:rPr>
    </w:lvl>
    <w:lvl w:ilvl="8">
      <w:start w:val="0"/>
      <w:numFmt w:val="bullet"/>
      <w:lvlText w:val="•"/>
      <w:lvlJc w:val="left"/>
      <w:pPr>
        <w:ind w:left="9644"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328" w:lineRule="exact"/>
      <w:ind w:left="1379" w:right="1239"/>
      <w:jc w:val="center"/>
      <w:outlineLvl w:val="1"/>
    </w:pPr>
    <w:rPr>
      <w:rFonts w:ascii="Helvetica" w:hAnsi="Helvetica" w:eastAsia="Helvetica" w:cs="Helvetica"/>
      <w:b/>
      <w:bCs/>
      <w:sz w:val="28"/>
      <w:szCs w:val="28"/>
    </w:rPr>
  </w:style>
  <w:style w:styleId="Heading2" w:type="paragraph">
    <w:name w:val="Heading 2"/>
    <w:basedOn w:val="Normal"/>
    <w:uiPriority w:val="1"/>
    <w:qFormat/>
    <w:pPr>
      <w:ind w:left="1259"/>
      <w:outlineLvl w:val="2"/>
    </w:pPr>
    <w:rPr>
      <w:rFonts w:ascii="Helvetica" w:hAnsi="Helvetica" w:eastAsia="Helvetica" w:cs="Helvetica"/>
      <w:b/>
      <w:bCs/>
      <w:sz w:val="20"/>
      <w:szCs w:val="20"/>
    </w:rPr>
  </w:style>
  <w:style w:styleId="ListParagraph" w:type="paragraph">
    <w:name w:val="List Paragraph"/>
    <w:basedOn w:val="Normal"/>
    <w:uiPriority w:val="1"/>
    <w:qFormat/>
    <w:pPr>
      <w:ind w:left="1979" w:hanging="361"/>
    </w:pPr>
    <w:rPr>
      <w:rFonts w:ascii="Helvetica" w:hAnsi="Helvetica" w:eastAsia="Helvetica" w:cs="Helvetica"/>
    </w:rPr>
  </w:style>
  <w:style w:styleId="TableParagraph" w:type="paragraph">
    <w:name w:val="Table Paragraph"/>
    <w:basedOn w:val="Normal"/>
    <w:uiPriority w:val="1"/>
    <w:qFormat/>
    <w:pPr>
      <w:spacing w:before="114"/>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6067.asp" TargetMode="External"/><Relationship Id="rId7" Type="http://schemas.openxmlformats.org/officeDocument/2006/relationships/hyperlink" Target="mailto:cargosupport@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c8lcn</dc:creator>
  <dc:title>Microsoft Word - 20111205 Published ACN - revised.doc</dc:title>
  <dcterms:created xsi:type="dcterms:W3CDTF">2020-12-09T22:48:49Z</dcterms:created>
  <dcterms:modified xsi:type="dcterms:W3CDTF">2020-12-09T22:48:49Z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2011-12-06T00:00:00Z</vt:filetime>
  </property>
  <property fmtid="{D5CDD505-2E9C-101B-9397-08002B2CF9AE}" pid="3" name="Creator">
    <vt:lpwstr>PScript5.dll Version 5.2.2</vt:lpwstr>
  </property>
  <property fmtid="{D5CDD505-2E9C-101B-9397-08002B2CF9AE}" pid="4" name="LastSaved">
    <vt:filetime>2020-12-09T00:00:00Z</vt:filetime>
  </property>
</Properties>
</file>