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sz w:val="20"/>
        </w:rPr>
      </w:pPr>
      <w:r>
        <w:rPr>
          <w:rFonts w:ascii="Times New Roman"/>
          <w:sz w:val="20"/>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sz w:val="20"/>
        </w:rPr>
      </w:r>
    </w:p>
    <w:p>
      <w:pPr>
        <w:pStyle w:val="Title"/>
        <w:spacing w:line="230" w:lineRule="auto" w:before="88"/>
        <w:ind w:left="4977"/>
      </w:pPr>
      <w:r>
        <w:rPr/>
        <w:pict>
          <v:rect style="position:absolute;margin-left:83.639519pt;margin-top:37.581470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2012/34</w:t>
      </w:r>
    </w:p>
    <w:p>
      <w:pPr>
        <w:pStyle w:val="BodyText"/>
        <w:spacing w:before="3"/>
        <w:rPr>
          <w:b/>
          <w:sz w:val="16"/>
        </w:rPr>
      </w:pPr>
    </w:p>
    <w:p>
      <w:pPr>
        <w:pStyle w:val="Title"/>
        <w:ind w:right="1775" w:firstLine="0"/>
        <w:jc w:val="center"/>
      </w:pPr>
      <w:r>
        <w:rPr/>
        <w:t>Clean Energy and Alternative Fuels Changes for 1 July 2012</w:t>
      </w:r>
    </w:p>
    <w:p>
      <w:pPr>
        <w:pStyle w:val="BodyText"/>
        <w:spacing w:line="232" w:lineRule="auto" w:before="251"/>
        <w:ind w:left="1521" w:right="1741"/>
      </w:pPr>
      <w:r>
        <w:rPr/>
        <w:t>This Notice summarises the changes to the </w:t>
      </w:r>
      <w:r>
        <w:rPr>
          <w:i/>
        </w:rPr>
        <w:t>Customs Tariff Act 1995 </w:t>
      </w:r>
      <w:r>
        <w:rPr/>
        <w:t>(Customs Tariff) resulting from clean energy and alternative fuels legislation, operative 1 July 2012.</w:t>
      </w:r>
    </w:p>
    <w:p>
      <w:pPr>
        <w:pStyle w:val="BodyText"/>
        <w:spacing w:before="11"/>
        <w:rPr>
          <w:sz w:val="20"/>
        </w:rPr>
      </w:pPr>
    </w:p>
    <w:p>
      <w:pPr>
        <w:spacing w:before="0"/>
        <w:ind w:left="1521" w:right="0" w:firstLine="0"/>
        <w:jc w:val="left"/>
        <w:rPr>
          <w:b/>
          <w:sz w:val="22"/>
        </w:rPr>
      </w:pPr>
      <w:r>
        <w:rPr>
          <w:b/>
          <w:sz w:val="24"/>
          <w:u w:val="thick"/>
        </w:rPr>
        <w:t>Aviation </w:t>
      </w:r>
      <w:r>
        <w:rPr>
          <w:b/>
          <w:sz w:val="22"/>
          <w:u w:val="thick"/>
        </w:rPr>
        <w:t>Fuel</w:t>
      </w:r>
    </w:p>
    <w:p>
      <w:pPr>
        <w:pStyle w:val="BodyText"/>
        <w:spacing w:before="7"/>
        <w:rPr>
          <w:b/>
          <w:sz w:val="15"/>
        </w:rPr>
      </w:pPr>
    </w:p>
    <w:p>
      <w:pPr>
        <w:pStyle w:val="BodyText"/>
        <w:spacing w:line="235" w:lineRule="auto" w:before="67"/>
        <w:ind w:left="1521" w:right="1608"/>
      </w:pPr>
      <w:r>
        <w:rPr/>
        <w:t>The </w:t>
      </w:r>
      <w:r>
        <w:rPr>
          <w:i/>
        </w:rPr>
        <w:t>Clean Energy (Customs Tariff Amendment) Act 2011 </w:t>
      </w:r>
      <w:r>
        <w:rPr/>
        <w:t>(Clean Energy (CTA) Act) received Royal Assent on 4 December 2011 as Act No. 155 of 2011. This Act amends the Customs Tariff to adjust duty rates for aviation fuel by an amount equivalent to the carbon emission price of the fuel.</w:t>
      </w:r>
    </w:p>
    <w:p>
      <w:pPr>
        <w:pStyle w:val="BodyText"/>
        <w:spacing w:before="4"/>
        <w:rPr>
          <w:sz w:val="21"/>
        </w:rPr>
      </w:pPr>
    </w:p>
    <w:p>
      <w:pPr>
        <w:pStyle w:val="BodyText"/>
        <w:spacing w:line="235" w:lineRule="auto" w:before="1"/>
        <w:ind w:left="1521" w:right="1580"/>
      </w:pPr>
      <w:r>
        <w:rPr/>
        <w:t>Presently the duty applied to aviation fuel is a designated levy to fund the Civil Aviation Safety Authority (CASA). The new legislated rates will include the CASA levy plus an aviation fuel carbon component; the CASA component is not affected. The Act alters rates of duty for aviation gasoline and kerosene as set out in the Table below. The adjusted rates of duty apply to the listed subheadings in Schedule 3 and relevant items in Schedules 5 to 8 of the Customs Tariff, applicable to Australia’s free trade agreements.</w:t>
      </w:r>
    </w:p>
    <w:p>
      <w:pPr>
        <w:pStyle w:val="BodyText"/>
        <w:spacing w:before="3"/>
        <w:rPr>
          <w:sz w:val="21"/>
        </w:rPr>
      </w:pPr>
    </w:p>
    <w:tbl>
      <w:tblPr>
        <w:tblW w:w="0" w:type="auto"/>
        <w:jc w:val="left"/>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9"/>
        <w:gridCol w:w="2181"/>
        <w:gridCol w:w="2179"/>
        <w:gridCol w:w="2179"/>
      </w:tblGrid>
      <w:tr>
        <w:trPr>
          <w:trHeight w:val="757" w:hRule="atLeast"/>
        </w:trPr>
        <w:tc>
          <w:tcPr>
            <w:tcW w:w="2179" w:type="dxa"/>
          </w:tcPr>
          <w:p>
            <w:pPr>
              <w:pStyle w:val="TableParagraph"/>
              <w:spacing w:line="252" w:lineRule="exact"/>
              <w:ind w:left="107"/>
              <w:rPr>
                <w:b/>
                <w:sz w:val="22"/>
              </w:rPr>
            </w:pPr>
            <w:r>
              <w:rPr>
                <w:b/>
                <w:sz w:val="22"/>
              </w:rPr>
              <w:t>Fuel</w:t>
            </w:r>
          </w:p>
        </w:tc>
        <w:tc>
          <w:tcPr>
            <w:tcW w:w="2181" w:type="dxa"/>
          </w:tcPr>
          <w:p>
            <w:pPr>
              <w:pStyle w:val="TableParagraph"/>
              <w:spacing w:line="252" w:lineRule="exact"/>
              <w:ind w:left="108"/>
              <w:rPr>
                <w:b/>
                <w:sz w:val="22"/>
              </w:rPr>
            </w:pPr>
            <w:r>
              <w:rPr>
                <w:b/>
                <w:sz w:val="22"/>
              </w:rPr>
              <w:t>Subheading</w:t>
            </w:r>
          </w:p>
        </w:tc>
        <w:tc>
          <w:tcPr>
            <w:tcW w:w="2179" w:type="dxa"/>
          </w:tcPr>
          <w:p>
            <w:pPr>
              <w:pStyle w:val="TableParagraph"/>
              <w:spacing w:line="230" w:lineRule="auto"/>
              <w:ind w:left="108" w:right="450"/>
              <w:rPr>
                <w:b/>
                <w:sz w:val="22"/>
              </w:rPr>
            </w:pPr>
            <w:r>
              <w:rPr>
                <w:b/>
                <w:sz w:val="22"/>
              </w:rPr>
              <w:t>Pre 1 July 2012 Rate</w:t>
            </w:r>
          </w:p>
        </w:tc>
        <w:tc>
          <w:tcPr>
            <w:tcW w:w="2179" w:type="dxa"/>
          </w:tcPr>
          <w:p>
            <w:pPr>
              <w:pStyle w:val="TableParagraph"/>
              <w:spacing w:line="230" w:lineRule="auto"/>
              <w:ind w:left="108" w:right="328"/>
              <w:rPr>
                <w:b/>
                <w:sz w:val="22"/>
              </w:rPr>
            </w:pPr>
            <w:r>
              <w:rPr>
                <w:b/>
                <w:sz w:val="22"/>
              </w:rPr>
              <w:t>Post 1 July 2012 Rate</w:t>
            </w:r>
          </w:p>
        </w:tc>
      </w:tr>
      <w:tr>
        <w:trPr>
          <w:trHeight w:val="253" w:hRule="atLeast"/>
        </w:trPr>
        <w:tc>
          <w:tcPr>
            <w:tcW w:w="2179" w:type="dxa"/>
          </w:tcPr>
          <w:p>
            <w:pPr>
              <w:pStyle w:val="TableParagraph"/>
              <w:spacing w:line="234" w:lineRule="exact"/>
              <w:ind w:left="107"/>
              <w:rPr>
                <w:sz w:val="22"/>
              </w:rPr>
            </w:pPr>
            <w:r>
              <w:rPr>
                <w:sz w:val="22"/>
              </w:rPr>
              <w:t>Aviation gasoline</w:t>
            </w:r>
          </w:p>
        </w:tc>
        <w:tc>
          <w:tcPr>
            <w:tcW w:w="2181" w:type="dxa"/>
          </w:tcPr>
          <w:p>
            <w:pPr>
              <w:pStyle w:val="TableParagraph"/>
              <w:spacing w:line="234" w:lineRule="exact"/>
              <w:ind w:left="107"/>
              <w:rPr>
                <w:sz w:val="22"/>
              </w:rPr>
            </w:pPr>
            <w:r>
              <w:rPr>
                <w:sz w:val="22"/>
              </w:rPr>
              <w:t>2710.12.61</w:t>
            </w:r>
          </w:p>
        </w:tc>
        <w:tc>
          <w:tcPr>
            <w:tcW w:w="2179" w:type="dxa"/>
          </w:tcPr>
          <w:p>
            <w:pPr>
              <w:pStyle w:val="TableParagraph"/>
              <w:spacing w:line="234" w:lineRule="exact"/>
              <w:ind w:left="108"/>
              <w:rPr>
                <w:sz w:val="22"/>
              </w:rPr>
            </w:pPr>
            <w:r>
              <w:rPr>
                <w:sz w:val="22"/>
              </w:rPr>
              <w:t>$0.03556/L</w:t>
            </w:r>
          </w:p>
        </w:tc>
        <w:tc>
          <w:tcPr>
            <w:tcW w:w="2179" w:type="dxa"/>
          </w:tcPr>
          <w:p>
            <w:pPr>
              <w:pStyle w:val="TableParagraph"/>
              <w:spacing w:line="234" w:lineRule="exact"/>
              <w:ind w:left="108"/>
              <w:rPr>
                <w:sz w:val="22"/>
              </w:rPr>
            </w:pPr>
            <w:r>
              <w:rPr>
                <w:sz w:val="22"/>
              </w:rPr>
              <w:t>$0.08616/L</w:t>
            </w:r>
          </w:p>
        </w:tc>
      </w:tr>
      <w:tr>
        <w:trPr>
          <w:trHeight w:val="253" w:hRule="atLeast"/>
        </w:trPr>
        <w:tc>
          <w:tcPr>
            <w:tcW w:w="2179" w:type="dxa"/>
          </w:tcPr>
          <w:p>
            <w:pPr>
              <w:pStyle w:val="TableParagraph"/>
              <w:rPr>
                <w:rFonts w:ascii="Times New Roman"/>
                <w:sz w:val="18"/>
              </w:rPr>
            </w:pPr>
          </w:p>
        </w:tc>
        <w:tc>
          <w:tcPr>
            <w:tcW w:w="2181" w:type="dxa"/>
          </w:tcPr>
          <w:p>
            <w:pPr>
              <w:pStyle w:val="TableParagraph"/>
              <w:spacing w:line="234" w:lineRule="exact"/>
              <w:ind w:left="107"/>
              <w:rPr>
                <w:sz w:val="22"/>
              </w:rPr>
            </w:pPr>
            <w:r>
              <w:rPr>
                <w:sz w:val="22"/>
              </w:rPr>
              <w:t>2710.91.61</w:t>
            </w:r>
          </w:p>
        </w:tc>
        <w:tc>
          <w:tcPr>
            <w:tcW w:w="2179" w:type="dxa"/>
          </w:tcPr>
          <w:p>
            <w:pPr>
              <w:pStyle w:val="TableParagraph"/>
              <w:rPr>
                <w:rFonts w:ascii="Times New Roman"/>
                <w:sz w:val="18"/>
              </w:rPr>
            </w:pPr>
          </w:p>
        </w:tc>
        <w:tc>
          <w:tcPr>
            <w:tcW w:w="2179" w:type="dxa"/>
          </w:tcPr>
          <w:p>
            <w:pPr>
              <w:pStyle w:val="TableParagraph"/>
              <w:rPr>
                <w:rFonts w:ascii="Times New Roman"/>
                <w:sz w:val="18"/>
              </w:rPr>
            </w:pPr>
          </w:p>
        </w:tc>
      </w:tr>
      <w:tr>
        <w:trPr>
          <w:trHeight w:val="251" w:hRule="atLeast"/>
        </w:trPr>
        <w:tc>
          <w:tcPr>
            <w:tcW w:w="2179" w:type="dxa"/>
          </w:tcPr>
          <w:p>
            <w:pPr>
              <w:pStyle w:val="TableParagraph"/>
              <w:rPr>
                <w:rFonts w:ascii="Times New Roman"/>
                <w:sz w:val="18"/>
              </w:rPr>
            </w:pPr>
          </w:p>
        </w:tc>
        <w:tc>
          <w:tcPr>
            <w:tcW w:w="2181" w:type="dxa"/>
          </w:tcPr>
          <w:p>
            <w:pPr>
              <w:pStyle w:val="TableParagraph"/>
              <w:spacing w:line="232" w:lineRule="exact"/>
              <w:ind w:left="107"/>
              <w:rPr>
                <w:sz w:val="22"/>
              </w:rPr>
            </w:pPr>
            <w:r>
              <w:rPr>
                <w:sz w:val="22"/>
              </w:rPr>
              <w:t>2710.99.61</w:t>
            </w:r>
          </w:p>
        </w:tc>
        <w:tc>
          <w:tcPr>
            <w:tcW w:w="2179" w:type="dxa"/>
          </w:tcPr>
          <w:p>
            <w:pPr>
              <w:pStyle w:val="TableParagraph"/>
              <w:rPr>
                <w:rFonts w:ascii="Times New Roman"/>
                <w:sz w:val="18"/>
              </w:rPr>
            </w:pPr>
          </w:p>
        </w:tc>
        <w:tc>
          <w:tcPr>
            <w:tcW w:w="2179" w:type="dxa"/>
          </w:tcPr>
          <w:p>
            <w:pPr>
              <w:pStyle w:val="TableParagraph"/>
              <w:rPr>
                <w:rFonts w:ascii="Times New Roman"/>
                <w:sz w:val="18"/>
              </w:rPr>
            </w:pPr>
          </w:p>
        </w:tc>
      </w:tr>
      <w:tr>
        <w:trPr>
          <w:trHeight w:val="253" w:hRule="atLeast"/>
        </w:trPr>
        <w:tc>
          <w:tcPr>
            <w:tcW w:w="2179" w:type="dxa"/>
          </w:tcPr>
          <w:p>
            <w:pPr>
              <w:pStyle w:val="TableParagraph"/>
              <w:rPr>
                <w:rFonts w:ascii="Times New Roman"/>
                <w:sz w:val="18"/>
              </w:rPr>
            </w:pPr>
          </w:p>
        </w:tc>
        <w:tc>
          <w:tcPr>
            <w:tcW w:w="2181" w:type="dxa"/>
          </w:tcPr>
          <w:p>
            <w:pPr>
              <w:pStyle w:val="TableParagraph"/>
              <w:rPr>
                <w:rFonts w:ascii="Times New Roman"/>
                <w:sz w:val="18"/>
              </w:rPr>
            </w:pPr>
          </w:p>
        </w:tc>
        <w:tc>
          <w:tcPr>
            <w:tcW w:w="2179" w:type="dxa"/>
          </w:tcPr>
          <w:p>
            <w:pPr>
              <w:pStyle w:val="TableParagraph"/>
              <w:rPr>
                <w:rFonts w:ascii="Times New Roman"/>
                <w:sz w:val="18"/>
              </w:rPr>
            </w:pPr>
          </w:p>
        </w:tc>
        <w:tc>
          <w:tcPr>
            <w:tcW w:w="2179" w:type="dxa"/>
          </w:tcPr>
          <w:p>
            <w:pPr>
              <w:pStyle w:val="TableParagraph"/>
              <w:rPr>
                <w:rFonts w:ascii="Times New Roman"/>
                <w:sz w:val="18"/>
              </w:rPr>
            </w:pPr>
          </w:p>
        </w:tc>
      </w:tr>
      <w:tr>
        <w:trPr>
          <w:trHeight w:val="251" w:hRule="atLeast"/>
        </w:trPr>
        <w:tc>
          <w:tcPr>
            <w:tcW w:w="2179" w:type="dxa"/>
          </w:tcPr>
          <w:p>
            <w:pPr>
              <w:pStyle w:val="TableParagraph"/>
              <w:spacing w:line="232" w:lineRule="exact"/>
              <w:ind w:left="107"/>
              <w:rPr>
                <w:sz w:val="22"/>
              </w:rPr>
            </w:pPr>
            <w:r>
              <w:rPr>
                <w:sz w:val="22"/>
              </w:rPr>
              <w:t>Aviation kerosene</w:t>
            </w:r>
          </w:p>
        </w:tc>
        <w:tc>
          <w:tcPr>
            <w:tcW w:w="2181" w:type="dxa"/>
          </w:tcPr>
          <w:p>
            <w:pPr>
              <w:pStyle w:val="TableParagraph"/>
              <w:spacing w:line="232" w:lineRule="exact"/>
              <w:ind w:left="107"/>
              <w:rPr>
                <w:sz w:val="22"/>
              </w:rPr>
            </w:pPr>
            <w:r>
              <w:rPr>
                <w:sz w:val="22"/>
              </w:rPr>
              <w:t>2710.19.40</w:t>
            </w:r>
          </w:p>
        </w:tc>
        <w:tc>
          <w:tcPr>
            <w:tcW w:w="2179" w:type="dxa"/>
          </w:tcPr>
          <w:p>
            <w:pPr>
              <w:pStyle w:val="TableParagraph"/>
              <w:spacing w:line="232" w:lineRule="exact"/>
              <w:ind w:left="108"/>
              <w:rPr>
                <w:sz w:val="22"/>
              </w:rPr>
            </w:pPr>
            <w:r>
              <w:rPr>
                <w:sz w:val="22"/>
              </w:rPr>
              <w:t>$0.03556/L</w:t>
            </w:r>
          </w:p>
        </w:tc>
        <w:tc>
          <w:tcPr>
            <w:tcW w:w="2179" w:type="dxa"/>
          </w:tcPr>
          <w:p>
            <w:pPr>
              <w:pStyle w:val="TableParagraph"/>
              <w:spacing w:line="232" w:lineRule="exact"/>
              <w:ind w:left="108"/>
              <w:rPr>
                <w:sz w:val="22"/>
              </w:rPr>
            </w:pPr>
            <w:r>
              <w:rPr>
                <w:sz w:val="22"/>
              </w:rPr>
              <w:t>$0.09536/L</w:t>
            </w:r>
          </w:p>
        </w:tc>
      </w:tr>
      <w:tr>
        <w:trPr>
          <w:trHeight w:val="253" w:hRule="atLeast"/>
        </w:trPr>
        <w:tc>
          <w:tcPr>
            <w:tcW w:w="2179" w:type="dxa"/>
          </w:tcPr>
          <w:p>
            <w:pPr>
              <w:pStyle w:val="TableParagraph"/>
              <w:rPr>
                <w:rFonts w:ascii="Times New Roman"/>
                <w:sz w:val="18"/>
              </w:rPr>
            </w:pPr>
          </w:p>
        </w:tc>
        <w:tc>
          <w:tcPr>
            <w:tcW w:w="2181" w:type="dxa"/>
          </w:tcPr>
          <w:p>
            <w:pPr>
              <w:pStyle w:val="TableParagraph"/>
              <w:spacing w:line="234" w:lineRule="exact"/>
              <w:ind w:left="107"/>
              <w:rPr>
                <w:sz w:val="22"/>
              </w:rPr>
            </w:pPr>
            <w:r>
              <w:rPr>
                <w:sz w:val="22"/>
              </w:rPr>
              <w:t>2710.91.40</w:t>
            </w:r>
          </w:p>
        </w:tc>
        <w:tc>
          <w:tcPr>
            <w:tcW w:w="2179" w:type="dxa"/>
          </w:tcPr>
          <w:p>
            <w:pPr>
              <w:pStyle w:val="TableParagraph"/>
              <w:rPr>
                <w:rFonts w:ascii="Times New Roman"/>
                <w:sz w:val="18"/>
              </w:rPr>
            </w:pPr>
          </w:p>
        </w:tc>
        <w:tc>
          <w:tcPr>
            <w:tcW w:w="2179" w:type="dxa"/>
          </w:tcPr>
          <w:p>
            <w:pPr>
              <w:pStyle w:val="TableParagraph"/>
              <w:rPr>
                <w:rFonts w:ascii="Times New Roman"/>
                <w:sz w:val="18"/>
              </w:rPr>
            </w:pPr>
          </w:p>
        </w:tc>
      </w:tr>
      <w:tr>
        <w:trPr>
          <w:trHeight w:val="253" w:hRule="atLeast"/>
        </w:trPr>
        <w:tc>
          <w:tcPr>
            <w:tcW w:w="2179" w:type="dxa"/>
          </w:tcPr>
          <w:p>
            <w:pPr>
              <w:pStyle w:val="TableParagraph"/>
              <w:rPr>
                <w:rFonts w:ascii="Times New Roman"/>
                <w:sz w:val="18"/>
              </w:rPr>
            </w:pPr>
          </w:p>
        </w:tc>
        <w:tc>
          <w:tcPr>
            <w:tcW w:w="2181" w:type="dxa"/>
          </w:tcPr>
          <w:p>
            <w:pPr>
              <w:pStyle w:val="TableParagraph"/>
              <w:spacing w:line="234" w:lineRule="exact"/>
              <w:ind w:left="107"/>
              <w:rPr>
                <w:sz w:val="22"/>
              </w:rPr>
            </w:pPr>
            <w:r>
              <w:rPr>
                <w:sz w:val="22"/>
              </w:rPr>
              <w:t>2710.99.40</w:t>
            </w:r>
          </w:p>
        </w:tc>
        <w:tc>
          <w:tcPr>
            <w:tcW w:w="2179" w:type="dxa"/>
          </w:tcPr>
          <w:p>
            <w:pPr>
              <w:pStyle w:val="TableParagraph"/>
              <w:rPr>
                <w:rFonts w:ascii="Times New Roman"/>
                <w:sz w:val="18"/>
              </w:rPr>
            </w:pPr>
          </w:p>
        </w:tc>
        <w:tc>
          <w:tcPr>
            <w:tcW w:w="2179" w:type="dxa"/>
          </w:tcPr>
          <w:p>
            <w:pPr>
              <w:pStyle w:val="TableParagraph"/>
              <w:rPr>
                <w:rFonts w:ascii="Times New Roman"/>
                <w:sz w:val="18"/>
              </w:rPr>
            </w:pPr>
          </w:p>
        </w:tc>
      </w:tr>
    </w:tbl>
    <w:p>
      <w:pPr>
        <w:pStyle w:val="BodyText"/>
        <w:spacing w:before="4"/>
        <w:rPr>
          <w:sz w:val="21"/>
        </w:rPr>
      </w:pPr>
    </w:p>
    <w:p>
      <w:pPr>
        <w:spacing w:line="235" w:lineRule="auto" w:before="0"/>
        <w:ind w:left="1521" w:right="1618" w:firstLine="0"/>
        <w:jc w:val="left"/>
        <w:rPr>
          <w:sz w:val="22"/>
        </w:rPr>
      </w:pPr>
      <w:r>
        <w:rPr>
          <w:sz w:val="22"/>
        </w:rPr>
        <w:t>The </w:t>
      </w:r>
      <w:r>
        <w:rPr>
          <w:i/>
          <w:sz w:val="22"/>
        </w:rPr>
        <w:t>Clean Energy (Excise Tariff Legislation Amendment) Act 2011 </w:t>
      </w:r>
      <w:r>
        <w:rPr>
          <w:sz w:val="22"/>
        </w:rPr>
        <w:t>amends the </w:t>
      </w:r>
      <w:r>
        <w:rPr>
          <w:i/>
          <w:sz w:val="22"/>
        </w:rPr>
        <w:t>Excise Tariff Act 1921 </w:t>
      </w:r>
      <w:r>
        <w:rPr>
          <w:sz w:val="22"/>
        </w:rPr>
        <w:t>to implement corresponding changes to excise rates for locally produced aviation fuels.</w:t>
      </w:r>
    </w:p>
    <w:p>
      <w:pPr>
        <w:pStyle w:val="BodyText"/>
        <w:spacing w:before="1"/>
        <w:rPr>
          <w:sz w:val="21"/>
        </w:rPr>
      </w:pPr>
    </w:p>
    <w:p>
      <w:pPr>
        <w:spacing w:before="1"/>
        <w:ind w:left="1521" w:right="0" w:firstLine="0"/>
        <w:jc w:val="left"/>
        <w:rPr>
          <w:i/>
          <w:sz w:val="22"/>
        </w:rPr>
      </w:pPr>
      <w:r>
        <w:rPr>
          <w:i/>
          <w:sz w:val="22"/>
          <w:u w:val="single"/>
        </w:rPr>
        <w:t>New Section 19A</w:t>
      </w:r>
    </w:p>
    <w:p>
      <w:pPr>
        <w:pStyle w:val="BodyText"/>
        <w:spacing w:before="6"/>
        <w:rPr>
          <w:i/>
          <w:sz w:val="15"/>
        </w:rPr>
      </w:pPr>
    </w:p>
    <w:p>
      <w:pPr>
        <w:pStyle w:val="BodyText"/>
        <w:spacing w:line="235" w:lineRule="auto" w:before="67"/>
        <w:ind w:left="1521" w:right="1691"/>
      </w:pPr>
      <w:r>
        <w:rPr/>
        <w:t>The Clean Energy (CTA) Act inserts new section 19A in the Customs Tariff to give effect to future carbon price adjustments for aviation fuels. Section 19A will link duty rates for aviation fuels to the equivalent items in the </w:t>
      </w:r>
      <w:r>
        <w:rPr>
          <w:i/>
        </w:rPr>
        <w:t>Excise Tariff Act 1921 </w:t>
      </w:r>
      <w:r>
        <w:rPr/>
        <w:t>and will automatically adjust those duty rates when duty rates change in that Act. This is similar to the mechanism in the present section 19 of the Customs Tariff that links changes to customs rates of duty for alcohol and tobacco products to rates of duty in the </w:t>
      </w:r>
      <w:r>
        <w:rPr>
          <w:i/>
        </w:rPr>
        <w:t>Excise Tariff Act 1921</w:t>
      </w:r>
      <w:r>
        <w:rPr/>
        <w:t>, for the purposes of twice yearly CPI duty rate adjustments.</w:t>
      </w:r>
    </w:p>
    <w:p>
      <w:pPr>
        <w:spacing w:after="0" w:line="235" w:lineRule="auto"/>
        <w:sectPr>
          <w:type w:val="continuous"/>
          <w:pgSz w:w="11900" w:h="16840"/>
          <w:pgMar w:top="1140" w:bottom="280" w:left="180" w:right="160"/>
        </w:sectPr>
      </w:pPr>
    </w:p>
    <w:p>
      <w:pPr>
        <w:pStyle w:val="Heading1"/>
        <w:spacing w:before="45"/>
        <w:rPr>
          <w:u w:val="none"/>
        </w:rPr>
      </w:pPr>
      <w:r>
        <w:rPr>
          <w:u w:val="thick"/>
        </w:rPr>
        <w:t>CNG</w:t>
      </w:r>
    </w:p>
    <w:p>
      <w:pPr>
        <w:pStyle w:val="BodyText"/>
        <w:spacing w:before="6"/>
        <w:rPr>
          <w:b/>
          <w:sz w:val="15"/>
        </w:rPr>
      </w:pPr>
    </w:p>
    <w:p>
      <w:pPr>
        <w:spacing w:line="235" w:lineRule="auto" w:before="68"/>
        <w:ind w:left="1521" w:right="1642" w:firstLine="0"/>
        <w:jc w:val="left"/>
        <w:rPr>
          <w:sz w:val="22"/>
        </w:rPr>
      </w:pPr>
      <w:r>
        <w:rPr>
          <w:sz w:val="22"/>
        </w:rPr>
        <w:t>The </w:t>
      </w:r>
      <w:r>
        <w:rPr>
          <w:i/>
          <w:sz w:val="22"/>
        </w:rPr>
        <w:t>Clean Energy (Customs Tariff Amendment) Act 2011 </w:t>
      </w:r>
      <w:r>
        <w:rPr>
          <w:sz w:val="22"/>
        </w:rPr>
        <w:t>legislated that non-transport compressed natural gas (CNG) would become subject to excise-equivalent customs duty at a rate equivalent to the CNG carbon rate, with effect from 1 July 2012.</w:t>
      </w:r>
    </w:p>
    <w:p>
      <w:pPr>
        <w:pStyle w:val="BodyText"/>
        <w:spacing w:before="8"/>
        <w:rPr>
          <w:sz w:val="21"/>
        </w:rPr>
      </w:pPr>
    </w:p>
    <w:p>
      <w:pPr>
        <w:pStyle w:val="BodyText"/>
        <w:spacing w:line="232" w:lineRule="auto"/>
        <w:ind w:left="1521" w:right="1608"/>
      </w:pPr>
      <w:r>
        <w:rPr/>
        <w:t>The Clean Energy (Customs Tariff Amendment) Bill 2012 was introduced into the House of Representatives on 23 May 2012. When enacted, this Bill will further amend customs legislation relating to CNG.</w:t>
      </w:r>
    </w:p>
    <w:p>
      <w:pPr>
        <w:pStyle w:val="BodyText"/>
        <w:spacing w:before="9"/>
        <w:rPr>
          <w:sz w:val="21"/>
        </w:rPr>
      </w:pPr>
    </w:p>
    <w:p>
      <w:pPr>
        <w:pStyle w:val="BodyText"/>
        <w:spacing w:line="235" w:lineRule="auto"/>
        <w:ind w:left="1521" w:right="1618"/>
      </w:pPr>
      <w:r>
        <w:rPr/>
        <w:t>Customs and Border Protection will provide further information regarding this Bill when it has been enacted.</w:t>
      </w:r>
    </w:p>
    <w:p>
      <w:pPr>
        <w:pStyle w:val="BodyText"/>
        <w:spacing w:before="7"/>
        <w:rPr>
          <w:sz w:val="20"/>
        </w:rPr>
      </w:pPr>
    </w:p>
    <w:p>
      <w:pPr>
        <w:pStyle w:val="Heading1"/>
        <w:rPr>
          <w:u w:val="none"/>
        </w:rPr>
      </w:pPr>
      <w:r>
        <w:rPr>
          <w:u w:val="thick"/>
        </w:rPr>
        <w:t>LNG and LPG</w:t>
      </w:r>
    </w:p>
    <w:p>
      <w:pPr>
        <w:pStyle w:val="BodyText"/>
        <w:spacing w:before="7"/>
        <w:rPr>
          <w:b/>
          <w:sz w:val="15"/>
        </w:rPr>
      </w:pPr>
    </w:p>
    <w:p>
      <w:pPr>
        <w:pStyle w:val="BodyText"/>
        <w:spacing w:line="235" w:lineRule="auto" w:before="67"/>
        <w:ind w:left="1521" w:right="1556"/>
      </w:pPr>
      <w:r>
        <w:rPr/>
        <w:t>Presently, liquefied natural gas (LNG) and liquefied petroleum gas (LPG) for non- transport use receive a remission from the excise and excise-equivalent customs duty imposed on gaseous fuels, so that effective tax falls only on gaseous fuels for transport use.</w:t>
      </w:r>
    </w:p>
    <w:p>
      <w:pPr>
        <w:pStyle w:val="BodyText"/>
        <w:spacing w:before="4"/>
        <w:rPr>
          <w:sz w:val="21"/>
        </w:rPr>
      </w:pPr>
    </w:p>
    <w:p>
      <w:pPr>
        <w:pStyle w:val="BodyText"/>
        <w:spacing w:line="235" w:lineRule="auto"/>
        <w:ind w:left="1521" w:right="1580"/>
      </w:pPr>
      <w:r>
        <w:rPr/>
        <w:t>To ensure consistent coverage of non-transport use of gaseous fuels, for example bottled LNG and LPG, an effective carbon price will apply through a reduction in the automatic remission or refund of excise or excise-equivalent customs duty. This will be given effect through the </w:t>
      </w:r>
      <w:r>
        <w:rPr>
          <w:i/>
        </w:rPr>
        <w:t>Customs Regulations 1926 </w:t>
      </w:r>
      <w:r>
        <w:rPr/>
        <w:t>(Customs Regulations).</w:t>
      </w:r>
    </w:p>
    <w:p>
      <w:pPr>
        <w:pStyle w:val="BodyText"/>
        <w:rPr>
          <w:sz w:val="21"/>
        </w:rPr>
      </w:pPr>
    </w:p>
    <w:p>
      <w:pPr>
        <w:spacing w:before="1"/>
        <w:ind w:left="1521" w:right="0" w:firstLine="0"/>
        <w:jc w:val="left"/>
        <w:rPr>
          <w:i/>
          <w:sz w:val="22"/>
        </w:rPr>
      </w:pPr>
      <w:r>
        <w:rPr>
          <w:i/>
          <w:sz w:val="22"/>
          <w:u w:val="single"/>
        </w:rPr>
        <w:t>Amendments to the Customs Regulations</w:t>
      </w:r>
    </w:p>
    <w:p>
      <w:pPr>
        <w:pStyle w:val="BodyText"/>
        <w:spacing w:before="8"/>
        <w:rPr>
          <w:i/>
          <w:sz w:val="15"/>
        </w:rPr>
      </w:pPr>
    </w:p>
    <w:p>
      <w:pPr>
        <w:pStyle w:val="BodyText"/>
        <w:spacing w:line="235" w:lineRule="auto" w:before="67"/>
        <w:ind w:left="1521" w:right="1556"/>
      </w:pPr>
      <w:r>
        <w:rPr/>
        <w:t>Amendments to the Customs Regulations are scheduled to take effect on 1 July 2012, to provide a partial remission of customs duty on LNG and LPG for non-transport purposes. The partial remission would remit the alternative fuel rate less the applicable carbon rates. Similar amendments will be made in the </w:t>
      </w:r>
      <w:r>
        <w:rPr>
          <w:i/>
        </w:rPr>
        <w:t>Excise Regulations 1925</w:t>
      </w:r>
      <w:r>
        <w:rPr/>
        <w:t>.</w:t>
      </w:r>
    </w:p>
    <w:p>
      <w:pPr>
        <w:pStyle w:val="BodyText"/>
        <w:spacing w:before="5"/>
        <w:rPr>
          <w:sz w:val="21"/>
        </w:rPr>
      </w:pPr>
    </w:p>
    <w:p>
      <w:pPr>
        <w:pStyle w:val="BodyText"/>
        <w:spacing w:line="235" w:lineRule="auto"/>
        <w:ind w:left="1521" w:right="1618"/>
      </w:pPr>
      <w:r>
        <w:rPr/>
        <w:t>These rates will be given effect through changes to items 130 and 131 of the Supplementary Provisions of the Customs Tariff Working Pages. These items provide the mechanism for remission/refund of customs duty on LNG and LPG, respectively, for non-transport purposes.</w:t>
      </w:r>
    </w:p>
    <w:p>
      <w:pPr>
        <w:pStyle w:val="BodyText"/>
        <w:spacing w:before="6"/>
        <w:rPr>
          <w:sz w:val="21"/>
        </w:rPr>
      </w:pPr>
    </w:p>
    <w:p>
      <w:pPr>
        <w:pStyle w:val="BodyText"/>
        <w:spacing w:line="232" w:lineRule="auto"/>
        <w:ind w:left="1521" w:right="1715"/>
      </w:pPr>
      <w:r>
        <w:rPr/>
        <w:t>Customs and Border Protection will provide further information about these regulation amendments as soon as they come into effect.</w:t>
      </w:r>
    </w:p>
    <w:p>
      <w:pPr>
        <w:pStyle w:val="BodyText"/>
        <w:spacing w:before="11"/>
        <w:rPr>
          <w:sz w:val="20"/>
        </w:rPr>
      </w:pPr>
    </w:p>
    <w:p>
      <w:pPr>
        <w:pStyle w:val="Heading1"/>
        <w:spacing w:before="0"/>
        <w:rPr>
          <w:u w:val="none"/>
        </w:rPr>
      </w:pPr>
      <w:r>
        <w:rPr>
          <w:u w:val="thick"/>
        </w:rPr>
        <w:t>Changes Resulting from the Alternative Fuels Legislation</w:t>
      </w:r>
    </w:p>
    <w:p>
      <w:pPr>
        <w:pStyle w:val="BodyText"/>
        <w:spacing w:before="5"/>
        <w:rPr>
          <w:b/>
          <w:sz w:val="15"/>
        </w:rPr>
      </w:pPr>
    </w:p>
    <w:p>
      <w:pPr>
        <w:pStyle w:val="BodyText"/>
        <w:spacing w:before="63"/>
        <w:ind w:left="1521"/>
      </w:pPr>
      <w:r>
        <w:rPr>
          <w:u w:val="single"/>
        </w:rPr>
        <w:t>Increases in duty rates for LNG, LPG and CNG from 1 July 2012</w:t>
      </w:r>
    </w:p>
    <w:p>
      <w:pPr>
        <w:pStyle w:val="BodyText"/>
        <w:spacing w:before="8"/>
        <w:rPr>
          <w:sz w:val="15"/>
        </w:rPr>
      </w:pPr>
    </w:p>
    <w:p>
      <w:pPr>
        <w:pStyle w:val="BodyText"/>
        <w:spacing w:line="235" w:lineRule="auto" w:before="68"/>
        <w:ind w:left="1521" w:right="1741"/>
      </w:pPr>
      <w:r>
        <w:rPr/>
        <w:t>The </w:t>
      </w:r>
      <w:r>
        <w:rPr>
          <w:i/>
        </w:rPr>
        <w:t>Customs Tariff Amendment (Taxation of Alternative Fuels) Act 2011 </w:t>
      </w:r>
      <w:r>
        <w:rPr/>
        <w:t>provides increases in rates of duty for LNG, LPG and CNG from 1 July 2012. (Australian Customs and Border Protection Notice No. 2011/47 refers). The increased rates of duty are set out in the current Customs Tariff Working Pages. The Integrated Cargo System will apply these rates automatically from 1 July 2012.</w:t>
      </w:r>
    </w:p>
    <w:p>
      <w:pPr>
        <w:spacing w:after="0" w:line="235" w:lineRule="auto"/>
        <w:sectPr>
          <w:headerReference w:type="default" r:id="rId6"/>
          <w:pgSz w:w="11900" w:h="16840"/>
          <w:pgMar w:header="598" w:footer="0" w:top="1060" w:bottom="280" w:left="180" w:right="160"/>
          <w:pgNumType w:start="2"/>
        </w:sectPr>
      </w:pPr>
    </w:p>
    <w:p>
      <w:pPr>
        <w:pStyle w:val="BodyText"/>
        <w:spacing w:before="5"/>
        <w:rPr>
          <w:sz w:val="20"/>
        </w:rPr>
      </w:pPr>
    </w:p>
    <w:p>
      <w:pPr>
        <w:pStyle w:val="BodyText"/>
        <w:spacing w:line="232" w:lineRule="auto" w:before="70"/>
        <w:ind w:left="1521" w:right="2228"/>
      </w:pPr>
      <w:r>
        <w:rPr/>
        <w:t>The rate of duty for LNG (subheading 2711.11.00) will increase from $0.0522/kg to $0.1045/kg.</w:t>
      </w:r>
    </w:p>
    <w:p>
      <w:pPr>
        <w:pStyle w:val="BodyText"/>
        <w:spacing w:before="7"/>
        <w:rPr>
          <w:sz w:val="21"/>
        </w:rPr>
      </w:pPr>
    </w:p>
    <w:p>
      <w:pPr>
        <w:pStyle w:val="BodyText"/>
        <w:spacing w:line="235" w:lineRule="auto" w:before="1"/>
        <w:ind w:left="1521" w:right="2191"/>
      </w:pPr>
      <w:r>
        <w:rPr/>
        <w:t>The rate of duty for LPG (subheadings 2711.12.10 and 2711.13.10) will increase from $0.025/L to $0.05/L.</w:t>
      </w:r>
    </w:p>
    <w:p>
      <w:pPr>
        <w:pStyle w:val="BodyText"/>
        <w:spacing w:before="4"/>
        <w:rPr>
          <w:sz w:val="21"/>
        </w:rPr>
      </w:pPr>
    </w:p>
    <w:p>
      <w:pPr>
        <w:pStyle w:val="BodyText"/>
        <w:spacing w:line="235" w:lineRule="auto"/>
        <w:ind w:left="1521" w:right="1630"/>
      </w:pPr>
      <w:r>
        <w:rPr/>
        <w:t>The rate of duty for CNG for transport purposes (subheading 2711.21.10) will increase from $0.0522/kg to $0.1045/kg.</w:t>
      </w:r>
    </w:p>
    <w:p>
      <w:pPr>
        <w:pStyle w:val="BodyText"/>
        <w:spacing w:before="10"/>
        <w:rPr>
          <w:sz w:val="20"/>
        </w:rPr>
      </w:pPr>
    </w:p>
    <w:p>
      <w:pPr>
        <w:pStyle w:val="Heading1"/>
        <w:rPr>
          <w:u w:val="none"/>
        </w:rPr>
      </w:pPr>
      <w:r>
        <w:rPr>
          <w:u w:val="thick"/>
        </w:rPr>
        <w:t>Customs Tariff Working Pages</w:t>
      </w:r>
    </w:p>
    <w:p>
      <w:pPr>
        <w:pStyle w:val="BodyText"/>
        <w:spacing w:before="4"/>
        <w:rPr>
          <w:b/>
          <w:sz w:val="15"/>
        </w:rPr>
      </w:pPr>
    </w:p>
    <w:p>
      <w:pPr>
        <w:pStyle w:val="BodyText"/>
        <w:spacing w:line="235" w:lineRule="auto" w:before="68"/>
        <w:ind w:left="1521" w:right="1532"/>
      </w:pPr>
      <w:r>
        <w:rPr/>
        <w:t>Customs Tariff Working Pages to be issued in connection with these changes are listed below. These Working Pages do not include amendments relating to the Customs Regulations or amendments to legislation relating to CNG. Customs and Border Protection will issue further Working Pages when these actions have been finalised.</w:t>
      </w:r>
    </w:p>
    <w:p>
      <w:pPr>
        <w:pStyle w:val="BodyText"/>
        <w:rPr>
          <w:sz w:val="21"/>
        </w:rPr>
      </w:pPr>
    </w:p>
    <w:p>
      <w:pPr>
        <w:pStyle w:val="BodyText"/>
        <w:ind w:left="1521"/>
      </w:pPr>
      <w:r>
        <w:rPr>
          <w:u w:val="single"/>
        </w:rPr>
        <w:t>Customs Tariff Act 1995</w:t>
      </w:r>
    </w:p>
    <w:p>
      <w:pPr>
        <w:pStyle w:val="BodyText"/>
        <w:spacing w:before="2"/>
        <w:rPr>
          <w:sz w:val="24"/>
        </w:rPr>
      </w:pPr>
    </w:p>
    <w:tbl>
      <w:tblPr>
        <w:tblW w:w="0" w:type="auto"/>
        <w:jc w:val="left"/>
        <w:tblInd w:w="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0"/>
        <w:gridCol w:w="1961"/>
        <w:gridCol w:w="1980"/>
        <w:gridCol w:w="1530"/>
      </w:tblGrid>
      <w:tr>
        <w:trPr>
          <w:trHeight w:val="1121" w:hRule="atLeast"/>
        </w:trPr>
        <w:tc>
          <w:tcPr>
            <w:tcW w:w="1780" w:type="dxa"/>
          </w:tcPr>
          <w:p>
            <w:pPr>
              <w:pStyle w:val="TableParagraph"/>
              <w:spacing w:line="218" w:lineRule="exact"/>
              <w:ind w:left="50"/>
              <w:rPr>
                <w:sz w:val="22"/>
              </w:rPr>
            </w:pPr>
            <w:r>
              <w:rPr>
                <w:sz w:val="22"/>
              </w:rPr>
              <w:t>Page 29</w:t>
            </w:r>
            <w:r>
              <w:rPr>
                <w:spacing w:val="-4"/>
                <w:sz w:val="22"/>
              </w:rPr>
              <w:t> </w:t>
            </w:r>
            <w:r>
              <w:rPr>
                <w:sz w:val="22"/>
              </w:rPr>
              <w:t>(R.1)</w:t>
            </w:r>
          </w:p>
          <w:p>
            <w:pPr>
              <w:pStyle w:val="TableParagraph"/>
              <w:spacing w:line="255" w:lineRule="exact"/>
              <w:ind w:left="50"/>
              <w:rPr>
                <w:sz w:val="22"/>
              </w:rPr>
            </w:pPr>
            <w:r>
              <w:rPr>
                <w:sz w:val="22"/>
              </w:rPr>
              <w:t>Page 31</w:t>
            </w:r>
            <w:r>
              <w:rPr>
                <w:spacing w:val="-4"/>
                <w:sz w:val="22"/>
              </w:rPr>
              <w:t> </w:t>
            </w:r>
            <w:r>
              <w:rPr>
                <w:sz w:val="22"/>
              </w:rPr>
              <w:t>(R.1)</w:t>
            </w:r>
          </w:p>
          <w:p>
            <w:pPr>
              <w:pStyle w:val="TableParagraph"/>
              <w:spacing w:before="1"/>
              <w:rPr>
                <w:sz w:val="21"/>
              </w:rPr>
            </w:pPr>
          </w:p>
          <w:p>
            <w:pPr>
              <w:pStyle w:val="TableParagraph"/>
              <w:ind w:left="50"/>
              <w:rPr>
                <w:sz w:val="22"/>
              </w:rPr>
            </w:pPr>
            <w:r>
              <w:rPr>
                <w:sz w:val="22"/>
                <w:u w:val="single"/>
              </w:rPr>
              <w:t>Schedule 3</w:t>
            </w:r>
          </w:p>
        </w:tc>
        <w:tc>
          <w:tcPr>
            <w:tcW w:w="5471" w:type="dxa"/>
            <w:gridSpan w:val="3"/>
          </w:tcPr>
          <w:p>
            <w:pPr>
              <w:pStyle w:val="TableParagraph"/>
              <w:rPr>
                <w:rFonts w:ascii="Times New Roman"/>
                <w:sz w:val="22"/>
              </w:rPr>
            </w:pPr>
          </w:p>
        </w:tc>
      </w:tr>
      <w:tr>
        <w:trPr>
          <w:trHeight w:val="758" w:hRule="atLeast"/>
        </w:trPr>
        <w:tc>
          <w:tcPr>
            <w:tcW w:w="1780" w:type="dxa"/>
          </w:tcPr>
          <w:p>
            <w:pPr>
              <w:pStyle w:val="TableParagraph"/>
              <w:spacing w:line="255" w:lineRule="exact" w:before="106"/>
              <w:ind w:left="50"/>
              <w:rPr>
                <w:sz w:val="22"/>
              </w:rPr>
            </w:pPr>
            <w:r>
              <w:rPr>
                <w:sz w:val="22"/>
              </w:rPr>
              <w:t>27/7</w:t>
            </w:r>
            <w:r>
              <w:rPr>
                <w:spacing w:val="-2"/>
                <w:sz w:val="22"/>
              </w:rPr>
              <w:t> </w:t>
            </w:r>
            <w:r>
              <w:rPr>
                <w:sz w:val="22"/>
              </w:rPr>
              <w:t>(R.24)</w:t>
            </w:r>
          </w:p>
          <w:p>
            <w:pPr>
              <w:pStyle w:val="TableParagraph"/>
              <w:spacing w:line="255" w:lineRule="exact"/>
              <w:ind w:left="50"/>
              <w:rPr>
                <w:sz w:val="22"/>
              </w:rPr>
            </w:pPr>
            <w:r>
              <w:rPr>
                <w:sz w:val="22"/>
              </w:rPr>
              <w:t>27/17</w:t>
            </w:r>
            <w:r>
              <w:rPr>
                <w:spacing w:val="-2"/>
                <w:sz w:val="22"/>
              </w:rPr>
              <w:t> </w:t>
            </w:r>
            <w:r>
              <w:rPr>
                <w:sz w:val="22"/>
              </w:rPr>
              <w:t>(R.5)</w:t>
            </w:r>
          </w:p>
        </w:tc>
        <w:tc>
          <w:tcPr>
            <w:tcW w:w="1961" w:type="dxa"/>
          </w:tcPr>
          <w:p>
            <w:pPr>
              <w:pStyle w:val="TableParagraph"/>
              <w:spacing w:line="255" w:lineRule="exact" w:before="106"/>
              <w:ind w:left="358"/>
              <w:rPr>
                <w:sz w:val="22"/>
              </w:rPr>
            </w:pPr>
            <w:r>
              <w:rPr>
                <w:sz w:val="22"/>
              </w:rPr>
              <w:t>27/11 (R.10)</w:t>
            </w:r>
          </w:p>
          <w:p>
            <w:pPr>
              <w:pStyle w:val="TableParagraph"/>
              <w:spacing w:line="255" w:lineRule="exact"/>
              <w:ind w:left="358"/>
              <w:rPr>
                <w:sz w:val="22"/>
              </w:rPr>
            </w:pPr>
            <w:r>
              <w:rPr>
                <w:sz w:val="22"/>
              </w:rPr>
              <w:t>27/19 (R.4)</w:t>
            </w:r>
          </w:p>
        </w:tc>
        <w:tc>
          <w:tcPr>
            <w:tcW w:w="1980" w:type="dxa"/>
          </w:tcPr>
          <w:p>
            <w:pPr>
              <w:pStyle w:val="TableParagraph"/>
              <w:spacing w:before="106"/>
              <w:ind w:left="377"/>
              <w:rPr>
                <w:sz w:val="22"/>
              </w:rPr>
            </w:pPr>
            <w:r>
              <w:rPr>
                <w:sz w:val="22"/>
              </w:rPr>
              <w:t>27/13 (R.10)</w:t>
            </w:r>
          </w:p>
        </w:tc>
        <w:tc>
          <w:tcPr>
            <w:tcW w:w="1530" w:type="dxa"/>
          </w:tcPr>
          <w:p>
            <w:pPr>
              <w:pStyle w:val="TableParagraph"/>
              <w:spacing w:before="106"/>
              <w:ind w:left="377"/>
              <w:rPr>
                <w:sz w:val="22"/>
              </w:rPr>
            </w:pPr>
            <w:r>
              <w:rPr>
                <w:sz w:val="22"/>
              </w:rPr>
              <w:t>27/15 (R.5)</w:t>
            </w:r>
          </w:p>
        </w:tc>
      </w:tr>
      <w:tr>
        <w:trPr>
          <w:trHeight w:val="506" w:hRule="atLeast"/>
        </w:trPr>
        <w:tc>
          <w:tcPr>
            <w:tcW w:w="1780" w:type="dxa"/>
          </w:tcPr>
          <w:p>
            <w:pPr>
              <w:pStyle w:val="TableParagraph"/>
              <w:spacing w:before="106"/>
              <w:ind w:left="50"/>
              <w:rPr>
                <w:sz w:val="22"/>
              </w:rPr>
            </w:pPr>
            <w:r>
              <w:rPr>
                <w:sz w:val="22"/>
                <w:u w:val="single"/>
              </w:rPr>
              <w:t>Schedule 5</w:t>
            </w:r>
          </w:p>
        </w:tc>
        <w:tc>
          <w:tcPr>
            <w:tcW w:w="1961" w:type="dxa"/>
          </w:tcPr>
          <w:p>
            <w:pPr>
              <w:pStyle w:val="TableParagraph"/>
              <w:spacing w:before="106"/>
              <w:ind w:left="358"/>
              <w:rPr>
                <w:sz w:val="22"/>
              </w:rPr>
            </w:pPr>
            <w:r>
              <w:rPr>
                <w:sz w:val="22"/>
                <w:u w:val="single"/>
              </w:rPr>
              <w:t>Schedule 6</w:t>
            </w:r>
          </w:p>
        </w:tc>
        <w:tc>
          <w:tcPr>
            <w:tcW w:w="1980" w:type="dxa"/>
          </w:tcPr>
          <w:p>
            <w:pPr>
              <w:pStyle w:val="TableParagraph"/>
              <w:spacing w:before="106"/>
              <w:ind w:left="377"/>
              <w:rPr>
                <w:sz w:val="22"/>
              </w:rPr>
            </w:pPr>
            <w:r>
              <w:rPr>
                <w:sz w:val="22"/>
                <w:u w:val="single"/>
              </w:rPr>
              <w:t>Schedule 7</w:t>
            </w:r>
          </w:p>
        </w:tc>
        <w:tc>
          <w:tcPr>
            <w:tcW w:w="1530" w:type="dxa"/>
          </w:tcPr>
          <w:p>
            <w:pPr>
              <w:pStyle w:val="TableParagraph"/>
              <w:spacing w:before="106"/>
              <w:ind w:left="377"/>
              <w:rPr>
                <w:sz w:val="22"/>
              </w:rPr>
            </w:pPr>
            <w:r>
              <w:rPr>
                <w:sz w:val="22"/>
                <w:u w:val="single"/>
              </w:rPr>
              <w:t>Schedule 8</w:t>
            </w:r>
          </w:p>
        </w:tc>
      </w:tr>
      <w:tr>
        <w:trPr>
          <w:trHeight w:val="379" w:hRule="atLeast"/>
        </w:trPr>
        <w:tc>
          <w:tcPr>
            <w:tcW w:w="1780" w:type="dxa"/>
          </w:tcPr>
          <w:p>
            <w:pPr>
              <w:pStyle w:val="TableParagraph"/>
              <w:spacing w:line="253" w:lineRule="exact" w:before="106"/>
              <w:ind w:left="50"/>
              <w:rPr>
                <w:sz w:val="22"/>
              </w:rPr>
            </w:pPr>
            <w:r>
              <w:rPr>
                <w:sz w:val="22"/>
              </w:rPr>
              <w:t>5/3 (R.25)</w:t>
            </w:r>
          </w:p>
        </w:tc>
        <w:tc>
          <w:tcPr>
            <w:tcW w:w="1961" w:type="dxa"/>
          </w:tcPr>
          <w:p>
            <w:pPr>
              <w:pStyle w:val="TableParagraph"/>
              <w:spacing w:line="253" w:lineRule="exact" w:before="106"/>
              <w:ind w:left="358"/>
              <w:rPr>
                <w:sz w:val="22"/>
              </w:rPr>
            </w:pPr>
            <w:r>
              <w:rPr>
                <w:sz w:val="22"/>
              </w:rPr>
              <w:t>6/3 (R.24)</w:t>
            </w:r>
          </w:p>
        </w:tc>
        <w:tc>
          <w:tcPr>
            <w:tcW w:w="1980" w:type="dxa"/>
          </w:tcPr>
          <w:p>
            <w:pPr>
              <w:pStyle w:val="TableParagraph"/>
              <w:spacing w:line="253" w:lineRule="exact" w:before="106"/>
              <w:ind w:left="377"/>
              <w:rPr>
                <w:sz w:val="22"/>
              </w:rPr>
            </w:pPr>
            <w:r>
              <w:rPr>
                <w:sz w:val="22"/>
              </w:rPr>
              <w:t>7/5 (R.4)</w:t>
            </w:r>
          </w:p>
        </w:tc>
        <w:tc>
          <w:tcPr>
            <w:tcW w:w="1530" w:type="dxa"/>
          </w:tcPr>
          <w:p>
            <w:pPr>
              <w:pStyle w:val="TableParagraph"/>
              <w:spacing w:line="253" w:lineRule="exact" w:before="106"/>
              <w:ind w:left="377"/>
              <w:rPr>
                <w:sz w:val="22"/>
              </w:rPr>
            </w:pPr>
            <w:r>
              <w:rPr>
                <w:sz w:val="22"/>
              </w:rPr>
              <w:t>8/3 (R.10)</w:t>
            </w:r>
          </w:p>
        </w:tc>
      </w:tr>
      <w:tr>
        <w:trPr>
          <w:trHeight w:val="236" w:hRule="atLeast"/>
        </w:trPr>
        <w:tc>
          <w:tcPr>
            <w:tcW w:w="1780" w:type="dxa"/>
          </w:tcPr>
          <w:p>
            <w:pPr>
              <w:pStyle w:val="TableParagraph"/>
              <w:spacing w:line="216" w:lineRule="exact"/>
              <w:ind w:left="50"/>
              <w:rPr>
                <w:sz w:val="22"/>
              </w:rPr>
            </w:pPr>
            <w:r>
              <w:rPr>
                <w:sz w:val="22"/>
              </w:rPr>
              <w:t>5/5 (R.7)</w:t>
            </w:r>
          </w:p>
        </w:tc>
        <w:tc>
          <w:tcPr>
            <w:tcW w:w="1961" w:type="dxa"/>
          </w:tcPr>
          <w:p>
            <w:pPr>
              <w:pStyle w:val="TableParagraph"/>
              <w:spacing w:line="216" w:lineRule="exact"/>
              <w:ind w:left="358"/>
              <w:rPr>
                <w:sz w:val="22"/>
              </w:rPr>
            </w:pPr>
            <w:r>
              <w:rPr>
                <w:sz w:val="22"/>
              </w:rPr>
              <w:t>6/5 (R.7)</w:t>
            </w:r>
          </w:p>
        </w:tc>
        <w:tc>
          <w:tcPr>
            <w:tcW w:w="1980" w:type="dxa"/>
          </w:tcPr>
          <w:p>
            <w:pPr>
              <w:pStyle w:val="TableParagraph"/>
              <w:spacing w:line="216" w:lineRule="exact"/>
              <w:ind w:left="377"/>
              <w:rPr>
                <w:sz w:val="22"/>
              </w:rPr>
            </w:pPr>
            <w:r>
              <w:rPr>
                <w:sz w:val="22"/>
              </w:rPr>
              <w:t>7/6A (R.2)</w:t>
            </w:r>
          </w:p>
        </w:tc>
        <w:tc>
          <w:tcPr>
            <w:tcW w:w="1530" w:type="dxa"/>
          </w:tcPr>
          <w:p>
            <w:pPr>
              <w:pStyle w:val="TableParagraph"/>
              <w:spacing w:line="216" w:lineRule="exact"/>
              <w:ind w:left="377"/>
              <w:rPr>
                <w:sz w:val="22"/>
              </w:rPr>
            </w:pPr>
            <w:r>
              <w:rPr>
                <w:sz w:val="22"/>
              </w:rPr>
              <w:t>8/5 (R.4)</w:t>
            </w:r>
          </w:p>
        </w:tc>
      </w:tr>
    </w:tbl>
    <w:p>
      <w:pPr>
        <w:pStyle w:val="BodyText"/>
        <w:spacing w:before="6"/>
        <w:rPr>
          <w:sz w:val="21"/>
        </w:rPr>
      </w:pPr>
    </w:p>
    <w:p>
      <w:pPr>
        <w:pStyle w:val="BodyText"/>
        <w:spacing w:line="235" w:lineRule="auto"/>
        <w:ind w:left="1521" w:right="1789"/>
      </w:pPr>
      <w:r>
        <w:rPr/>
        <w:t>Note: Australian Customs and Border Protection Notice No. 2012/31 provides further information about separate Tariff Working Pages relating to statistical code changes on 1 July 2012.</w:t>
      </w:r>
    </w:p>
    <w:p>
      <w:pPr>
        <w:pStyle w:val="BodyText"/>
        <w:spacing w:before="8"/>
        <w:rPr>
          <w:sz w:val="20"/>
        </w:rPr>
      </w:pPr>
    </w:p>
    <w:p>
      <w:pPr>
        <w:pStyle w:val="Heading1"/>
        <w:rPr>
          <w:u w:val="none"/>
        </w:rPr>
      </w:pPr>
      <w:r>
        <w:rPr>
          <w:u w:val="thick"/>
        </w:rPr>
        <w:t>Enquiries</w:t>
      </w:r>
    </w:p>
    <w:p>
      <w:pPr>
        <w:pStyle w:val="BodyText"/>
        <w:spacing w:before="4"/>
        <w:rPr>
          <w:b/>
          <w:sz w:val="15"/>
        </w:rPr>
      </w:pPr>
    </w:p>
    <w:p>
      <w:pPr>
        <w:pStyle w:val="BodyText"/>
        <w:spacing w:line="235" w:lineRule="auto" w:before="67"/>
        <w:ind w:left="1521" w:right="1727"/>
      </w:pPr>
      <w:r>
        <w:rPr/>
        <w:t>Enquiries concerning this Notice may be directed to the Manager Tariff Legislation on telephone number 02 6275 6542.</w:t>
      </w:r>
    </w:p>
    <w:p>
      <w:pPr>
        <w:pStyle w:val="BodyText"/>
      </w:pPr>
    </w:p>
    <w:p>
      <w:pPr>
        <w:pStyle w:val="BodyText"/>
      </w:pPr>
    </w:p>
    <w:p>
      <w:pPr>
        <w:pStyle w:val="BodyText"/>
      </w:pPr>
    </w:p>
    <w:p>
      <w:pPr>
        <w:pStyle w:val="BodyText"/>
        <w:spacing w:before="9"/>
        <w:rPr>
          <w:sz w:val="19"/>
        </w:rPr>
      </w:pPr>
    </w:p>
    <w:p>
      <w:pPr>
        <w:pStyle w:val="BodyText"/>
        <w:spacing w:line="255" w:lineRule="exact" w:before="1"/>
        <w:ind w:left="1521"/>
      </w:pPr>
      <w:r>
        <w:rPr/>
        <w:t>(signed)</w:t>
      </w:r>
    </w:p>
    <w:p>
      <w:pPr>
        <w:pStyle w:val="BodyText"/>
        <w:spacing w:line="232" w:lineRule="auto" w:before="3"/>
        <w:ind w:left="1521" w:right="8282"/>
      </w:pPr>
      <w:r>
        <w:rPr/>
        <w:t>Geoff Johannes National Manager</w:t>
      </w:r>
    </w:p>
    <w:p>
      <w:pPr>
        <w:pStyle w:val="BodyText"/>
        <w:spacing w:line="232" w:lineRule="auto" w:before="4"/>
        <w:ind w:left="1521" w:right="6338"/>
      </w:pPr>
      <w:r>
        <w:rPr/>
        <w:t>Tariff Policy &amp; Implementation Branch 20 June 2012</w:t>
      </w:r>
    </w:p>
    <w:sectPr>
      <w:pgSz w:w="11900" w:h="16840"/>
      <w:pgMar w:header="598" w:footer="0" w:top="106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839874pt;margin-top:28.916977pt;width:11.55pt;height:12pt;mso-position-horizontal-relative:page;mso-position-vertical-relative:page;z-index:-15867904" type="#_x0000_t202" filled="false" stroked="false">
          <v:textbox inset="0,0,0,0">
            <w:txbxContent>
              <w:p>
                <w:pPr>
                  <w:spacing w:line="220" w:lineRule="exact" w:before="0"/>
                  <w:ind w:left="60" w:right="0" w:firstLine="0"/>
                  <w:jc w:val="left"/>
                  <w:rPr>
                    <w:sz w:val="20"/>
                  </w:rPr>
                </w:pPr>
                <w:r>
                  <w:rPr/>
                  <w:fldChar w:fldCharType="begin"/>
                </w:r>
                <w:r>
                  <w:rPr>
                    <w:w w:val="99"/>
                    <w:sz w:val="20"/>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2"/>
      <w:szCs w:val="22"/>
    </w:rPr>
  </w:style>
  <w:style w:styleId="Heading1" w:type="paragraph">
    <w:name w:val="Heading 1"/>
    <w:basedOn w:val="Normal"/>
    <w:uiPriority w:val="1"/>
    <w:qFormat/>
    <w:pPr>
      <w:spacing w:before="1"/>
      <w:ind w:left="1521"/>
      <w:outlineLvl w:val="1"/>
    </w:pPr>
    <w:rPr>
      <w:rFonts w:ascii="Helvetica" w:hAnsi="Helvetica" w:eastAsia="Helvetica" w:cs="Helvetica"/>
      <w:b/>
      <w:bCs/>
      <w:sz w:val="24"/>
      <w:szCs w:val="24"/>
      <w:u w:val="single" w:color="000000"/>
    </w:rPr>
  </w:style>
  <w:style w:styleId="Title" w:type="paragraph">
    <w:name w:val="Title"/>
    <w:basedOn w:val="Normal"/>
    <w:uiPriority w:val="1"/>
    <w:qFormat/>
    <w:pPr>
      <w:spacing w:before="48"/>
      <w:ind w:left="1762" w:right="1608" w:hanging="3368"/>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C8IVS</dc:creator>
  <dc:title>Microsoft Word - acn 2012 clean energy5.doc</dc:title>
  <dcterms:created xsi:type="dcterms:W3CDTF">2020-12-09T22:46:00Z</dcterms:created>
  <dcterms:modified xsi:type="dcterms:W3CDTF">2020-12-09T22:46:00Z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2012-06-22T00:00:00Z</vt:filetime>
  </property>
  <property fmtid="{D5CDD505-2E9C-101B-9397-08002B2CF9AE}" pid="3" name="Creator">
    <vt:lpwstr>PScript5.dll Version 5.2.2</vt:lpwstr>
  </property>
  <property fmtid="{D5CDD505-2E9C-101B-9397-08002B2CF9AE}" pid="4" name="LastSaved">
    <vt:filetime>2020-12-09T00:00:00Z</vt:filetime>
  </property>
</Properties>
</file>