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spacing w:line="230" w:lineRule="auto" w:before="88"/>
        <w:ind w:left="5265" w:right="1608" w:hanging="3656"/>
        <w:jc w:val="left"/>
        <w:rPr>
          <w:b/>
          <w:sz w:val="28"/>
        </w:rPr>
      </w:pPr>
      <w:r>
        <w:rPr/>
        <w:pict>
          <v:rect style="position:absolute;margin-left:83.639999pt;margin-top:37.581223pt;width:428.03999pt;height:.72pt;mso-position-horizontal-relative:page;mso-position-vertical-relative:paragraph;z-index:-15728640;mso-wrap-distance-left:0;mso-wrap-distance-right:0" filled="true" fillcolor="#000000" stroked="false">
            <v:fill type="solid"/>
            <w10:wrap type="topAndBottom"/>
          </v:rect>
        </w:pict>
      </w:r>
      <w:r>
        <w:rPr>
          <w:b/>
          <w:sz w:val="28"/>
        </w:rPr>
        <w:t>AUSTRALIAN CUSTOMS AND BORDER PROTECTION NOTICE 2012/60</w:t>
      </w:r>
    </w:p>
    <w:p>
      <w:pPr>
        <w:pStyle w:val="BodyText"/>
        <w:spacing w:before="1"/>
        <w:rPr>
          <w:b/>
          <w:sz w:val="16"/>
        </w:rPr>
      </w:pPr>
    </w:p>
    <w:p>
      <w:pPr>
        <w:spacing w:before="48"/>
        <w:ind w:left="1521" w:right="0" w:firstLine="0"/>
        <w:jc w:val="left"/>
        <w:rPr>
          <w:b/>
          <w:sz w:val="28"/>
        </w:rPr>
      </w:pPr>
      <w:r>
        <w:rPr>
          <w:b/>
          <w:sz w:val="28"/>
        </w:rPr>
        <w:t>Customs duty refund – tobacco and tobacco products</w:t>
      </w:r>
    </w:p>
    <w:p>
      <w:pPr>
        <w:pStyle w:val="BodyText"/>
        <w:rPr>
          <w:b/>
          <w:sz w:val="28"/>
        </w:rPr>
      </w:pPr>
    </w:p>
    <w:p>
      <w:pPr>
        <w:pStyle w:val="BodyText"/>
        <w:spacing w:line="237" w:lineRule="auto" w:before="169"/>
        <w:ind w:left="1521" w:right="1959"/>
      </w:pPr>
      <w:r>
        <w:rPr/>
        <w:t>This notice advises of changes to the </w:t>
      </w:r>
      <w:r>
        <w:rPr>
          <w:i/>
        </w:rPr>
        <w:t>Customs Regulations 1926 </w:t>
      </w:r>
      <w:r>
        <w:rPr/>
        <w:t>(Customs Regulations) to allow a refund of customs duty on imported, duty paid, tobacco and tobacco products.</w:t>
      </w:r>
    </w:p>
    <w:p>
      <w:pPr>
        <w:pStyle w:val="BodyText"/>
        <w:spacing w:before="7"/>
        <w:rPr>
          <w:sz w:val="19"/>
        </w:rPr>
      </w:pPr>
    </w:p>
    <w:p>
      <w:pPr>
        <w:pStyle w:val="BodyText"/>
        <w:spacing w:line="235" w:lineRule="auto"/>
        <w:ind w:left="1521" w:right="1611"/>
      </w:pPr>
      <w:r>
        <w:rPr/>
        <w:t>The new refund circumstance is included as regulation 126F of the Customs Regulations which is applicable to tobacco and tobacco products which have been destroyed and which do not meet the retail packaging requirements of the </w:t>
      </w:r>
      <w:r>
        <w:rPr>
          <w:i/>
        </w:rPr>
        <w:t>Tobacco Plain Packaging Act 2011 </w:t>
      </w:r>
      <w:r>
        <w:rPr/>
        <w:t>that come into effect on 1 December 2012.</w:t>
      </w:r>
    </w:p>
    <w:p>
      <w:pPr>
        <w:pStyle w:val="BodyText"/>
        <w:spacing w:before="4"/>
        <w:rPr>
          <w:sz w:val="19"/>
        </w:rPr>
      </w:pPr>
    </w:p>
    <w:p>
      <w:pPr>
        <w:pStyle w:val="BodyText"/>
        <w:spacing w:line="235" w:lineRule="auto" w:before="1"/>
        <w:ind w:left="1521" w:right="1547"/>
      </w:pPr>
      <w:r>
        <w:rPr/>
        <w:t>A refund is only available where the application for refund is for at least 100,000 cigarettes, 100kg of tobacco or other tobacco products, or a combination of cigarettes and tobacco or other tobacco products weighing at least 100kg.</w:t>
      </w:r>
    </w:p>
    <w:p>
      <w:pPr>
        <w:pStyle w:val="BodyText"/>
        <w:spacing w:before="4"/>
        <w:rPr>
          <w:sz w:val="19"/>
        </w:rPr>
      </w:pPr>
    </w:p>
    <w:p>
      <w:pPr>
        <w:pStyle w:val="BodyText"/>
        <w:spacing w:line="235" w:lineRule="auto"/>
        <w:ind w:left="1521" w:right="2148"/>
      </w:pPr>
      <w:r>
        <w:rPr/>
        <w:t>Further requirements that need to be met for this refund circumstance are included under amended regulation 127 of the Customs Regulations as follows:</w:t>
      </w:r>
    </w:p>
    <w:p>
      <w:pPr>
        <w:pStyle w:val="BodyText"/>
        <w:spacing w:before="9"/>
        <w:rPr>
          <w:sz w:val="19"/>
        </w:rPr>
      </w:pPr>
    </w:p>
    <w:p>
      <w:pPr>
        <w:pStyle w:val="ListParagraph"/>
        <w:numPr>
          <w:ilvl w:val="0"/>
          <w:numId w:val="1"/>
        </w:numPr>
        <w:tabs>
          <w:tab w:pos="1881" w:val="left" w:leader="none"/>
          <w:tab w:pos="1882" w:val="left" w:leader="none"/>
        </w:tabs>
        <w:spacing w:line="232" w:lineRule="auto" w:before="1" w:after="0"/>
        <w:ind w:left="1881" w:right="1672" w:hanging="360"/>
        <w:jc w:val="left"/>
        <w:rPr>
          <w:sz w:val="20"/>
        </w:rPr>
      </w:pPr>
      <w:r>
        <w:rPr>
          <w:sz w:val="20"/>
        </w:rPr>
        <w:t>Customs and Border Protection is given a notice of the intended destruction of the tobacco or tobacco products at least 7 day prior to the goods being destroyed;</w:t>
      </w:r>
      <w:r>
        <w:rPr>
          <w:spacing w:val="-17"/>
          <w:sz w:val="20"/>
        </w:rPr>
        <w:t> </w:t>
      </w:r>
      <w:r>
        <w:rPr>
          <w:sz w:val="20"/>
        </w:rPr>
        <w:t>and</w:t>
      </w:r>
    </w:p>
    <w:p>
      <w:pPr>
        <w:pStyle w:val="BodyText"/>
        <w:spacing w:before="7"/>
        <w:rPr>
          <w:sz w:val="19"/>
        </w:rPr>
      </w:pPr>
    </w:p>
    <w:p>
      <w:pPr>
        <w:pStyle w:val="ListParagraph"/>
        <w:numPr>
          <w:ilvl w:val="0"/>
          <w:numId w:val="1"/>
        </w:numPr>
        <w:tabs>
          <w:tab w:pos="1881" w:val="left" w:leader="none"/>
          <w:tab w:pos="1882" w:val="left" w:leader="none"/>
        </w:tabs>
        <w:spacing w:line="235" w:lineRule="auto" w:before="0" w:after="0"/>
        <w:ind w:left="1881" w:right="1597" w:hanging="360"/>
        <w:jc w:val="left"/>
        <w:rPr>
          <w:sz w:val="20"/>
        </w:rPr>
      </w:pPr>
      <w:r>
        <w:rPr>
          <w:sz w:val="20"/>
        </w:rPr>
        <w:t>when</w:t>
      </w:r>
      <w:r>
        <w:rPr>
          <w:spacing w:val="-3"/>
          <w:sz w:val="20"/>
        </w:rPr>
        <w:t> </w:t>
      </w:r>
      <w:r>
        <w:rPr>
          <w:sz w:val="20"/>
        </w:rPr>
        <w:t>the</w:t>
      </w:r>
      <w:r>
        <w:rPr>
          <w:spacing w:val="-2"/>
          <w:sz w:val="20"/>
        </w:rPr>
        <w:t> </w:t>
      </w:r>
      <w:r>
        <w:rPr>
          <w:sz w:val="20"/>
        </w:rPr>
        <w:t>notice</w:t>
      </w:r>
      <w:r>
        <w:rPr>
          <w:spacing w:val="-4"/>
          <w:sz w:val="20"/>
        </w:rPr>
        <w:t> </w:t>
      </w:r>
      <w:r>
        <w:rPr>
          <w:sz w:val="20"/>
        </w:rPr>
        <w:t>of</w:t>
      </w:r>
      <w:r>
        <w:rPr>
          <w:spacing w:val="-3"/>
          <w:sz w:val="20"/>
        </w:rPr>
        <w:t> </w:t>
      </w:r>
      <w:r>
        <w:rPr>
          <w:sz w:val="20"/>
        </w:rPr>
        <w:t>the</w:t>
      </w:r>
      <w:r>
        <w:rPr>
          <w:spacing w:val="-2"/>
          <w:sz w:val="20"/>
        </w:rPr>
        <w:t> </w:t>
      </w:r>
      <w:r>
        <w:rPr>
          <w:sz w:val="20"/>
        </w:rPr>
        <w:t>intended</w:t>
      </w:r>
      <w:r>
        <w:rPr>
          <w:spacing w:val="-2"/>
          <w:sz w:val="20"/>
        </w:rPr>
        <w:t> </w:t>
      </w:r>
      <w:r>
        <w:rPr>
          <w:sz w:val="20"/>
        </w:rPr>
        <w:t>destruction</w:t>
      </w:r>
      <w:r>
        <w:rPr>
          <w:spacing w:val="-3"/>
          <w:sz w:val="20"/>
        </w:rPr>
        <w:t> </w:t>
      </w:r>
      <w:r>
        <w:rPr>
          <w:sz w:val="20"/>
        </w:rPr>
        <w:t>is</w:t>
      </w:r>
      <w:r>
        <w:rPr>
          <w:spacing w:val="-3"/>
          <w:sz w:val="20"/>
        </w:rPr>
        <w:t> </w:t>
      </w:r>
      <w:r>
        <w:rPr>
          <w:sz w:val="20"/>
        </w:rPr>
        <w:t>given,</w:t>
      </w:r>
      <w:r>
        <w:rPr>
          <w:spacing w:val="-4"/>
          <w:sz w:val="20"/>
        </w:rPr>
        <w:t> </w:t>
      </w:r>
      <w:r>
        <w:rPr>
          <w:sz w:val="20"/>
        </w:rPr>
        <w:t>the</w:t>
      </w:r>
      <w:r>
        <w:rPr>
          <w:spacing w:val="-4"/>
          <w:sz w:val="20"/>
        </w:rPr>
        <w:t> </w:t>
      </w:r>
      <w:r>
        <w:rPr>
          <w:sz w:val="20"/>
        </w:rPr>
        <w:t>goods</w:t>
      </w:r>
      <w:r>
        <w:rPr>
          <w:spacing w:val="-3"/>
          <w:sz w:val="20"/>
        </w:rPr>
        <w:t> </w:t>
      </w:r>
      <w:r>
        <w:rPr>
          <w:sz w:val="20"/>
        </w:rPr>
        <w:t>are</w:t>
      </w:r>
      <w:r>
        <w:rPr>
          <w:spacing w:val="-3"/>
          <w:sz w:val="20"/>
        </w:rPr>
        <w:t> </w:t>
      </w:r>
      <w:r>
        <w:rPr>
          <w:sz w:val="20"/>
        </w:rPr>
        <w:t>in</w:t>
      </w:r>
      <w:r>
        <w:rPr>
          <w:spacing w:val="-2"/>
          <w:sz w:val="20"/>
        </w:rPr>
        <w:t> </w:t>
      </w:r>
      <w:r>
        <w:rPr>
          <w:sz w:val="20"/>
        </w:rPr>
        <w:t>a</w:t>
      </w:r>
      <w:r>
        <w:rPr>
          <w:spacing w:val="-2"/>
          <w:sz w:val="20"/>
        </w:rPr>
        <w:t> </w:t>
      </w:r>
      <w:r>
        <w:rPr>
          <w:sz w:val="20"/>
        </w:rPr>
        <w:t>warehouse</w:t>
      </w:r>
      <w:r>
        <w:rPr>
          <w:spacing w:val="-5"/>
          <w:sz w:val="20"/>
        </w:rPr>
        <w:t> </w:t>
      </w:r>
      <w:r>
        <w:rPr>
          <w:sz w:val="20"/>
        </w:rPr>
        <w:t>licensed under section 79 of the </w:t>
      </w:r>
      <w:r>
        <w:rPr>
          <w:i/>
          <w:sz w:val="20"/>
        </w:rPr>
        <w:t>Customs Act 1901 </w:t>
      </w:r>
      <w:r>
        <w:rPr>
          <w:sz w:val="20"/>
        </w:rPr>
        <w:t>to warehouse excise equivalent goods, in particular tobacco and tobacco products;</w:t>
      </w:r>
      <w:r>
        <w:rPr>
          <w:spacing w:val="-6"/>
          <w:sz w:val="20"/>
        </w:rPr>
        <w:t> </w:t>
      </w:r>
      <w:r>
        <w:rPr>
          <w:sz w:val="20"/>
        </w:rPr>
        <w:t>and</w:t>
      </w:r>
    </w:p>
    <w:p>
      <w:pPr>
        <w:pStyle w:val="BodyText"/>
        <w:spacing w:before="5"/>
        <w:rPr>
          <w:sz w:val="19"/>
        </w:rPr>
      </w:pPr>
    </w:p>
    <w:p>
      <w:pPr>
        <w:pStyle w:val="ListParagraph"/>
        <w:numPr>
          <w:ilvl w:val="0"/>
          <w:numId w:val="1"/>
        </w:numPr>
        <w:tabs>
          <w:tab w:pos="1881" w:val="left" w:leader="none"/>
          <w:tab w:pos="1882" w:val="left" w:leader="none"/>
        </w:tabs>
        <w:spacing w:line="235" w:lineRule="auto" w:before="0" w:after="0"/>
        <w:ind w:left="1881" w:right="2428" w:hanging="360"/>
        <w:jc w:val="left"/>
        <w:rPr>
          <w:sz w:val="20"/>
        </w:rPr>
      </w:pPr>
      <w:r>
        <w:rPr>
          <w:sz w:val="20"/>
        </w:rPr>
        <w:t>Customs and Border Protection is given a reasonable opportunity to supervise the destruction.</w:t>
      </w:r>
    </w:p>
    <w:p>
      <w:pPr>
        <w:pStyle w:val="BodyText"/>
        <w:spacing w:before="7"/>
        <w:rPr>
          <w:sz w:val="19"/>
        </w:rPr>
      </w:pPr>
    </w:p>
    <w:p>
      <w:pPr>
        <w:pStyle w:val="BodyText"/>
        <w:spacing w:line="235" w:lineRule="auto"/>
        <w:ind w:left="1521" w:right="1665"/>
      </w:pPr>
      <w:r>
        <w:rPr/>
        <w:t>A notification of intended destruction is to be given to Customs and Border Protection on approved form B1223 ‘Notice of Intended Destruction – Tobacco Products’. The form is available on the Customs and Border Protection web site </w:t>
      </w:r>
      <w:hyperlink r:id="rId6">
        <w:r>
          <w:rPr>
            <w:color w:val="0000FF"/>
            <w:u w:val="single" w:color="0000FF"/>
          </w:rPr>
          <w:t>www.customs.gov.au</w:t>
        </w:r>
        <w:r>
          <w:rPr>
            <w:color w:val="0000FF"/>
          </w:rPr>
          <w:t> </w:t>
        </w:r>
      </w:hyperlink>
      <w:r>
        <w:rPr/>
        <w:t>by clicking on the link to ‘media, publications and forms’, then clicking on ‘forms’. Details of where the notice is to be sent are included on the form. The costs of destruction are to be borne by the applicant.</w:t>
      </w:r>
    </w:p>
    <w:p>
      <w:pPr>
        <w:pStyle w:val="BodyText"/>
        <w:spacing w:before="5"/>
        <w:rPr>
          <w:sz w:val="19"/>
        </w:rPr>
      </w:pPr>
    </w:p>
    <w:p>
      <w:pPr>
        <w:pStyle w:val="BodyText"/>
        <w:spacing w:line="235" w:lineRule="auto"/>
        <w:ind w:left="1521" w:right="1891"/>
      </w:pPr>
      <w:r>
        <w:rPr/>
        <w:t>An application for refund of duty on tobacco and tobacco products is to be given to Customs and Border Protection on approved form B1224 ‘Application for Refund of Duty – Tobacco Products’. This form is also available on the Customs and Border Protection website by following the above links. Details of where the application is to be sent are included on the form.</w:t>
      </w:r>
    </w:p>
    <w:p>
      <w:pPr>
        <w:pStyle w:val="BodyText"/>
        <w:spacing w:before="1"/>
        <w:rPr>
          <w:sz w:val="19"/>
        </w:rPr>
      </w:pPr>
    </w:p>
    <w:p>
      <w:pPr>
        <w:pStyle w:val="BodyText"/>
        <w:ind w:left="1521"/>
      </w:pPr>
      <w:r>
        <w:rPr/>
        <w:t>Applications for refund must be made on or before 30 April 2013.</w:t>
      </w:r>
    </w:p>
    <w:p>
      <w:pPr>
        <w:pStyle w:val="BodyText"/>
        <w:spacing w:before="5"/>
        <w:rPr>
          <w:sz w:val="19"/>
        </w:rPr>
      </w:pPr>
    </w:p>
    <w:p>
      <w:pPr>
        <w:spacing w:line="254" w:lineRule="auto" w:before="1"/>
        <w:ind w:left="1521" w:right="1608" w:firstLine="0"/>
        <w:jc w:val="left"/>
        <w:rPr>
          <w:rFonts w:ascii="Arial"/>
          <w:sz w:val="22"/>
        </w:rPr>
      </w:pPr>
      <w:r>
        <w:rPr>
          <w:rFonts w:ascii="Arial"/>
          <w:w w:val="95"/>
          <w:sz w:val="22"/>
        </w:rPr>
        <w:t>The</w:t>
      </w:r>
      <w:r>
        <w:rPr>
          <w:rFonts w:ascii="Arial"/>
          <w:spacing w:val="-20"/>
          <w:w w:val="95"/>
          <w:sz w:val="22"/>
        </w:rPr>
        <w:t> </w:t>
      </w:r>
      <w:r>
        <w:rPr>
          <w:rFonts w:ascii="Arial"/>
          <w:w w:val="95"/>
          <w:sz w:val="22"/>
        </w:rPr>
        <w:t>default</w:t>
      </w:r>
      <w:r>
        <w:rPr>
          <w:rFonts w:ascii="Arial"/>
          <w:spacing w:val="-22"/>
          <w:w w:val="95"/>
          <w:sz w:val="22"/>
        </w:rPr>
        <w:t> </w:t>
      </w:r>
      <w:r>
        <w:rPr>
          <w:rFonts w:ascii="Arial"/>
          <w:w w:val="95"/>
          <w:sz w:val="22"/>
        </w:rPr>
        <w:t>customs</w:t>
      </w:r>
      <w:r>
        <w:rPr>
          <w:rFonts w:ascii="Arial"/>
          <w:spacing w:val="-19"/>
          <w:w w:val="95"/>
          <w:sz w:val="22"/>
        </w:rPr>
        <w:t> </w:t>
      </w:r>
      <w:r>
        <w:rPr>
          <w:rFonts w:ascii="Arial"/>
          <w:w w:val="95"/>
          <w:sz w:val="22"/>
        </w:rPr>
        <w:t>duty</w:t>
      </w:r>
      <w:r>
        <w:rPr>
          <w:rFonts w:ascii="Arial"/>
          <w:spacing w:val="-22"/>
          <w:w w:val="95"/>
          <w:sz w:val="22"/>
        </w:rPr>
        <w:t> </w:t>
      </w:r>
      <w:r>
        <w:rPr>
          <w:rFonts w:ascii="Arial"/>
          <w:w w:val="95"/>
          <w:sz w:val="22"/>
        </w:rPr>
        <w:t>rates</w:t>
      </w:r>
      <w:r>
        <w:rPr>
          <w:rFonts w:ascii="Arial"/>
          <w:spacing w:val="-19"/>
          <w:w w:val="95"/>
          <w:sz w:val="22"/>
        </w:rPr>
        <w:t> </w:t>
      </w:r>
      <w:r>
        <w:rPr>
          <w:rFonts w:ascii="Arial"/>
          <w:w w:val="95"/>
          <w:sz w:val="22"/>
        </w:rPr>
        <w:t>for</w:t>
      </w:r>
      <w:r>
        <w:rPr>
          <w:rFonts w:ascii="Arial"/>
          <w:spacing w:val="-20"/>
          <w:w w:val="95"/>
          <w:sz w:val="22"/>
        </w:rPr>
        <w:t> </w:t>
      </w:r>
      <w:r>
        <w:rPr>
          <w:rFonts w:ascii="Arial"/>
          <w:w w:val="95"/>
          <w:sz w:val="22"/>
        </w:rPr>
        <w:t>tobacco</w:t>
      </w:r>
      <w:r>
        <w:rPr>
          <w:rFonts w:ascii="Arial"/>
          <w:spacing w:val="-21"/>
          <w:w w:val="95"/>
          <w:sz w:val="22"/>
        </w:rPr>
        <w:t> </w:t>
      </w:r>
      <w:r>
        <w:rPr>
          <w:rFonts w:ascii="Arial"/>
          <w:w w:val="95"/>
          <w:sz w:val="22"/>
        </w:rPr>
        <w:t>and</w:t>
      </w:r>
      <w:r>
        <w:rPr>
          <w:rFonts w:ascii="Arial"/>
          <w:spacing w:val="-20"/>
          <w:w w:val="95"/>
          <w:sz w:val="22"/>
        </w:rPr>
        <w:t> </w:t>
      </w:r>
      <w:r>
        <w:rPr>
          <w:rFonts w:ascii="Arial"/>
          <w:w w:val="95"/>
          <w:sz w:val="22"/>
        </w:rPr>
        <w:t>tobacco</w:t>
      </w:r>
      <w:r>
        <w:rPr>
          <w:rFonts w:ascii="Arial"/>
          <w:spacing w:val="-19"/>
          <w:w w:val="95"/>
          <w:sz w:val="22"/>
        </w:rPr>
        <w:t> </w:t>
      </w:r>
      <w:r>
        <w:rPr>
          <w:rFonts w:ascii="Arial"/>
          <w:w w:val="95"/>
          <w:sz w:val="22"/>
        </w:rPr>
        <w:t>products</w:t>
      </w:r>
      <w:r>
        <w:rPr>
          <w:rFonts w:ascii="Arial"/>
          <w:spacing w:val="-22"/>
          <w:w w:val="95"/>
          <w:sz w:val="22"/>
        </w:rPr>
        <w:t> </w:t>
      </w:r>
      <w:r>
        <w:rPr>
          <w:rFonts w:ascii="Arial"/>
          <w:w w:val="95"/>
          <w:sz w:val="22"/>
        </w:rPr>
        <w:t>that</w:t>
      </w:r>
      <w:r>
        <w:rPr>
          <w:rFonts w:ascii="Arial"/>
          <w:spacing w:val="-20"/>
          <w:w w:val="95"/>
          <w:sz w:val="22"/>
        </w:rPr>
        <w:t> </w:t>
      </w:r>
      <w:r>
        <w:rPr>
          <w:rFonts w:ascii="Arial"/>
          <w:w w:val="95"/>
          <w:sz w:val="22"/>
        </w:rPr>
        <w:t>Customs</w:t>
      </w:r>
      <w:r>
        <w:rPr>
          <w:rFonts w:ascii="Arial"/>
          <w:spacing w:val="-20"/>
          <w:w w:val="95"/>
          <w:sz w:val="22"/>
        </w:rPr>
        <w:t> </w:t>
      </w:r>
      <w:r>
        <w:rPr>
          <w:rFonts w:ascii="Arial"/>
          <w:w w:val="95"/>
          <w:sz w:val="22"/>
        </w:rPr>
        <w:t>and</w:t>
      </w:r>
      <w:r>
        <w:rPr>
          <w:rFonts w:ascii="Arial"/>
          <w:spacing w:val="-20"/>
          <w:w w:val="95"/>
          <w:sz w:val="22"/>
        </w:rPr>
        <w:t> </w:t>
      </w:r>
      <w:r>
        <w:rPr>
          <w:rFonts w:ascii="Arial"/>
          <w:w w:val="95"/>
          <w:sz w:val="22"/>
        </w:rPr>
        <w:t>Border </w:t>
      </w:r>
      <w:r>
        <w:rPr>
          <w:rFonts w:ascii="Arial"/>
          <w:sz w:val="22"/>
        </w:rPr>
        <w:t>Protection</w:t>
      </w:r>
      <w:r>
        <w:rPr>
          <w:rFonts w:ascii="Arial"/>
          <w:spacing w:val="-30"/>
          <w:sz w:val="22"/>
        </w:rPr>
        <w:t> </w:t>
      </w:r>
      <w:r>
        <w:rPr>
          <w:rFonts w:ascii="Arial"/>
          <w:sz w:val="22"/>
        </w:rPr>
        <w:t>will</w:t>
      </w:r>
      <w:r>
        <w:rPr>
          <w:rFonts w:ascii="Arial"/>
          <w:spacing w:val="-28"/>
          <w:sz w:val="22"/>
        </w:rPr>
        <w:t> </w:t>
      </w:r>
      <w:r>
        <w:rPr>
          <w:rFonts w:ascii="Arial"/>
          <w:sz w:val="22"/>
        </w:rPr>
        <w:t>use</w:t>
      </w:r>
      <w:r>
        <w:rPr>
          <w:rFonts w:ascii="Arial"/>
          <w:spacing w:val="-28"/>
          <w:sz w:val="22"/>
        </w:rPr>
        <w:t> </w:t>
      </w:r>
      <w:r>
        <w:rPr>
          <w:rFonts w:ascii="Arial"/>
          <w:sz w:val="22"/>
        </w:rPr>
        <w:t>to</w:t>
      </w:r>
      <w:r>
        <w:rPr>
          <w:rFonts w:ascii="Arial"/>
          <w:spacing w:val="-28"/>
          <w:sz w:val="22"/>
        </w:rPr>
        <w:t> </w:t>
      </w:r>
      <w:r>
        <w:rPr>
          <w:rFonts w:ascii="Arial"/>
          <w:sz w:val="22"/>
        </w:rPr>
        <w:t>calculate</w:t>
      </w:r>
      <w:r>
        <w:rPr>
          <w:rFonts w:ascii="Arial"/>
          <w:spacing w:val="-27"/>
          <w:sz w:val="22"/>
        </w:rPr>
        <w:t> </w:t>
      </w:r>
      <w:r>
        <w:rPr>
          <w:rFonts w:ascii="Arial"/>
          <w:sz w:val="22"/>
        </w:rPr>
        <w:t>refunds</w:t>
      </w:r>
      <w:r>
        <w:rPr>
          <w:rFonts w:ascii="Arial"/>
          <w:spacing w:val="-29"/>
          <w:sz w:val="22"/>
        </w:rPr>
        <w:t> </w:t>
      </w:r>
      <w:r>
        <w:rPr>
          <w:rFonts w:ascii="Arial"/>
          <w:sz w:val="22"/>
        </w:rPr>
        <w:t>will</w:t>
      </w:r>
      <w:r>
        <w:rPr>
          <w:rFonts w:ascii="Arial"/>
          <w:spacing w:val="-28"/>
          <w:sz w:val="22"/>
        </w:rPr>
        <w:t> </w:t>
      </w:r>
      <w:r>
        <w:rPr>
          <w:rFonts w:ascii="Arial"/>
          <w:sz w:val="22"/>
        </w:rPr>
        <w:t>be</w:t>
      </w:r>
      <w:r>
        <w:rPr>
          <w:rFonts w:ascii="Arial"/>
          <w:spacing w:val="-29"/>
          <w:sz w:val="22"/>
        </w:rPr>
        <w:t> </w:t>
      </w:r>
      <w:r>
        <w:rPr>
          <w:rFonts w:ascii="Arial"/>
          <w:sz w:val="22"/>
        </w:rPr>
        <w:t>the</w:t>
      </w:r>
      <w:r>
        <w:rPr>
          <w:rFonts w:ascii="Arial"/>
          <w:spacing w:val="-27"/>
          <w:sz w:val="22"/>
        </w:rPr>
        <w:t> </w:t>
      </w:r>
      <w:r>
        <w:rPr>
          <w:rFonts w:ascii="Arial"/>
          <w:sz w:val="22"/>
        </w:rPr>
        <w:t>rates</w:t>
      </w:r>
      <w:r>
        <w:rPr>
          <w:rFonts w:ascii="Arial"/>
          <w:spacing w:val="-27"/>
          <w:sz w:val="22"/>
        </w:rPr>
        <w:t> </w:t>
      </w:r>
      <w:r>
        <w:rPr>
          <w:rFonts w:ascii="Arial"/>
          <w:sz w:val="22"/>
        </w:rPr>
        <w:t>in</w:t>
      </w:r>
      <w:r>
        <w:rPr>
          <w:rFonts w:ascii="Arial"/>
          <w:spacing w:val="-28"/>
          <w:sz w:val="22"/>
        </w:rPr>
        <w:t> </w:t>
      </w:r>
      <w:r>
        <w:rPr>
          <w:rFonts w:ascii="Arial"/>
          <w:sz w:val="22"/>
        </w:rPr>
        <w:t>effect</w:t>
      </w:r>
      <w:r>
        <w:rPr>
          <w:rFonts w:ascii="Arial"/>
          <w:spacing w:val="-27"/>
          <w:sz w:val="22"/>
        </w:rPr>
        <w:t> </w:t>
      </w:r>
      <w:r>
        <w:rPr>
          <w:rFonts w:ascii="Arial"/>
          <w:sz w:val="22"/>
        </w:rPr>
        <w:t>six</w:t>
      </w:r>
      <w:r>
        <w:rPr>
          <w:rFonts w:ascii="Arial"/>
          <w:spacing w:val="-29"/>
          <w:sz w:val="22"/>
        </w:rPr>
        <w:t> </w:t>
      </w:r>
      <w:r>
        <w:rPr>
          <w:rFonts w:ascii="Arial"/>
          <w:sz w:val="22"/>
        </w:rPr>
        <w:t>months</w:t>
      </w:r>
      <w:r>
        <w:rPr>
          <w:rFonts w:ascii="Arial"/>
          <w:spacing w:val="-29"/>
          <w:sz w:val="22"/>
        </w:rPr>
        <w:t> </w:t>
      </w:r>
      <w:r>
        <w:rPr>
          <w:rFonts w:ascii="Arial"/>
          <w:sz w:val="22"/>
        </w:rPr>
        <w:t>prior</w:t>
      </w:r>
      <w:r>
        <w:rPr>
          <w:rFonts w:ascii="Arial"/>
          <w:spacing w:val="-29"/>
          <w:sz w:val="22"/>
        </w:rPr>
        <w:t> </w:t>
      </w:r>
      <w:r>
        <w:rPr>
          <w:rFonts w:ascii="Arial"/>
          <w:sz w:val="22"/>
        </w:rPr>
        <w:t>to</w:t>
      </w:r>
      <w:r>
        <w:rPr>
          <w:rFonts w:ascii="Arial"/>
          <w:spacing w:val="-28"/>
          <w:sz w:val="22"/>
        </w:rPr>
        <w:t> </w:t>
      </w:r>
      <w:r>
        <w:rPr>
          <w:rFonts w:ascii="Arial"/>
          <w:sz w:val="22"/>
        </w:rPr>
        <w:t>the receipt</w:t>
      </w:r>
      <w:r>
        <w:rPr>
          <w:rFonts w:ascii="Arial"/>
          <w:spacing w:val="-36"/>
          <w:sz w:val="22"/>
        </w:rPr>
        <w:t> </w:t>
      </w:r>
      <w:r>
        <w:rPr>
          <w:rFonts w:ascii="Arial"/>
          <w:sz w:val="22"/>
        </w:rPr>
        <w:t>of</w:t>
      </w:r>
      <w:r>
        <w:rPr>
          <w:rFonts w:ascii="Arial"/>
          <w:spacing w:val="-36"/>
          <w:sz w:val="22"/>
        </w:rPr>
        <w:t> </w:t>
      </w:r>
      <w:r>
        <w:rPr>
          <w:rFonts w:ascii="Arial"/>
          <w:sz w:val="22"/>
        </w:rPr>
        <w:t>the</w:t>
      </w:r>
      <w:r>
        <w:rPr>
          <w:rFonts w:ascii="Arial"/>
          <w:spacing w:val="-34"/>
          <w:sz w:val="22"/>
        </w:rPr>
        <w:t> </w:t>
      </w:r>
      <w:r>
        <w:rPr>
          <w:rFonts w:ascii="Arial"/>
          <w:sz w:val="22"/>
        </w:rPr>
        <w:t>refund</w:t>
      </w:r>
      <w:r>
        <w:rPr>
          <w:rFonts w:ascii="Arial"/>
          <w:spacing w:val="-35"/>
          <w:sz w:val="22"/>
        </w:rPr>
        <w:t> </w:t>
      </w:r>
      <w:r>
        <w:rPr>
          <w:rFonts w:ascii="Arial"/>
          <w:sz w:val="22"/>
        </w:rPr>
        <w:t>application.</w:t>
      </w:r>
      <w:r>
        <w:rPr>
          <w:rFonts w:ascii="Arial"/>
          <w:spacing w:val="-8"/>
          <w:sz w:val="22"/>
        </w:rPr>
        <w:t> </w:t>
      </w:r>
      <w:r>
        <w:rPr>
          <w:rFonts w:ascii="Arial"/>
          <w:sz w:val="22"/>
        </w:rPr>
        <w:t>However,</w:t>
      </w:r>
      <w:r>
        <w:rPr>
          <w:rFonts w:ascii="Arial"/>
          <w:spacing w:val="-34"/>
          <w:sz w:val="22"/>
        </w:rPr>
        <w:t> </w:t>
      </w:r>
      <w:r>
        <w:rPr>
          <w:rFonts w:ascii="Arial"/>
          <w:sz w:val="22"/>
        </w:rPr>
        <w:t>if</w:t>
      </w:r>
      <w:r>
        <w:rPr>
          <w:rFonts w:ascii="Arial"/>
          <w:spacing w:val="-36"/>
          <w:sz w:val="22"/>
        </w:rPr>
        <w:t> </w:t>
      </w:r>
      <w:r>
        <w:rPr>
          <w:rFonts w:ascii="Arial"/>
          <w:sz w:val="22"/>
        </w:rPr>
        <w:t>there</w:t>
      </w:r>
      <w:r>
        <w:rPr>
          <w:rFonts w:ascii="Arial"/>
          <w:spacing w:val="-35"/>
          <w:sz w:val="22"/>
        </w:rPr>
        <w:t> </w:t>
      </w:r>
      <w:r>
        <w:rPr>
          <w:rFonts w:ascii="Arial"/>
          <w:sz w:val="22"/>
        </w:rPr>
        <w:t>is</w:t>
      </w:r>
      <w:r>
        <w:rPr>
          <w:rFonts w:ascii="Arial"/>
          <w:spacing w:val="-36"/>
          <w:sz w:val="22"/>
        </w:rPr>
        <w:t> </w:t>
      </w:r>
      <w:r>
        <w:rPr>
          <w:rFonts w:ascii="Arial"/>
          <w:sz w:val="22"/>
        </w:rPr>
        <w:t>sufficient</w:t>
      </w:r>
      <w:r>
        <w:rPr>
          <w:rFonts w:ascii="Arial"/>
          <w:spacing w:val="-34"/>
          <w:sz w:val="22"/>
        </w:rPr>
        <w:t> </w:t>
      </w:r>
      <w:r>
        <w:rPr>
          <w:rFonts w:ascii="Arial"/>
          <w:sz w:val="22"/>
        </w:rPr>
        <w:t>evidence</w:t>
      </w:r>
      <w:r>
        <w:rPr>
          <w:rFonts w:ascii="Arial"/>
          <w:spacing w:val="-34"/>
          <w:sz w:val="22"/>
        </w:rPr>
        <w:t> </w:t>
      </w:r>
      <w:r>
        <w:rPr>
          <w:rFonts w:ascii="Arial"/>
          <w:sz w:val="22"/>
        </w:rPr>
        <w:t>provided</w:t>
      </w:r>
      <w:r>
        <w:rPr>
          <w:rFonts w:ascii="Arial"/>
          <w:spacing w:val="-35"/>
          <w:sz w:val="22"/>
        </w:rPr>
        <w:t> </w:t>
      </w:r>
      <w:r>
        <w:rPr>
          <w:rFonts w:ascii="Arial"/>
          <w:sz w:val="22"/>
        </w:rPr>
        <w:t>by</w:t>
      </w:r>
      <w:r>
        <w:rPr>
          <w:rFonts w:ascii="Arial"/>
          <w:spacing w:val="-34"/>
          <w:sz w:val="22"/>
        </w:rPr>
        <w:t> </w:t>
      </w:r>
      <w:r>
        <w:rPr>
          <w:rFonts w:ascii="Arial"/>
          <w:sz w:val="22"/>
        </w:rPr>
        <w:t>the </w:t>
      </w:r>
      <w:r>
        <w:rPr>
          <w:rFonts w:ascii="Arial"/>
          <w:w w:val="95"/>
          <w:sz w:val="22"/>
        </w:rPr>
        <w:t>applicant</w:t>
      </w:r>
      <w:r>
        <w:rPr>
          <w:rFonts w:ascii="Arial"/>
          <w:spacing w:val="-16"/>
          <w:w w:val="95"/>
          <w:sz w:val="22"/>
        </w:rPr>
        <w:t> </w:t>
      </w:r>
      <w:r>
        <w:rPr>
          <w:rFonts w:ascii="Arial"/>
          <w:w w:val="95"/>
          <w:sz w:val="22"/>
        </w:rPr>
        <w:t>that</w:t>
      </w:r>
      <w:r>
        <w:rPr>
          <w:rFonts w:ascii="Arial"/>
          <w:spacing w:val="-15"/>
          <w:w w:val="95"/>
          <w:sz w:val="22"/>
        </w:rPr>
        <w:t> </w:t>
      </w:r>
      <w:r>
        <w:rPr>
          <w:rFonts w:ascii="Arial"/>
          <w:w w:val="95"/>
          <w:sz w:val="22"/>
        </w:rPr>
        <w:t>the</w:t>
      </w:r>
      <w:r>
        <w:rPr>
          <w:rFonts w:ascii="Arial"/>
          <w:spacing w:val="-15"/>
          <w:w w:val="95"/>
          <w:sz w:val="22"/>
        </w:rPr>
        <w:t> </w:t>
      </w:r>
      <w:r>
        <w:rPr>
          <w:rFonts w:ascii="Arial"/>
          <w:w w:val="95"/>
          <w:sz w:val="22"/>
        </w:rPr>
        <w:t>goods</w:t>
      </w:r>
      <w:r>
        <w:rPr>
          <w:rFonts w:ascii="Arial"/>
          <w:spacing w:val="-18"/>
          <w:w w:val="95"/>
          <w:sz w:val="22"/>
        </w:rPr>
        <w:t> </w:t>
      </w:r>
      <w:r>
        <w:rPr>
          <w:rFonts w:ascii="Arial"/>
          <w:w w:val="95"/>
          <w:sz w:val="22"/>
        </w:rPr>
        <w:t>were</w:t>
      </w:r>
      <w:r>
        <w:rPr>
          <w:rFonts w:ascii="Arial"/>
          <w:spacing w:val="-15"/>
          <w:w w:val="95"/>
          <w:sz w:val="22"/>
        </w:rPr>
        <w:t> </w:t>
      </w:r>
      <w:r>
        <w:rPr>
          <w:rFonts w:ascii="Arial"/>
          <w:w w:val="95"/>
          <w:sz w:val="22"/>
        </w:rPr>
        <w:t>customs</w:t>
      </w:r>
      <w:r>
        <w:rPr>
          <w:rFonts w:ascii="Arial"/>
          <w:spacing w:val="-15"/>
          <w:w w:val="95"/>
          <w:sz w:val="22"/>
        </w:rPr>
        <w:t> </w:t>
      </w:r>
      <w:r>
        <w:rPr>
          <w:rFonts w:ascii="Arial"/>
          <w:w w:val="95"/>
          <w:sz w:val="22"/>
        </w:rPr>
        <w:t>duty</w:t>
      </w:r>
      <w:r>
        <w:rPr>
          <w:rFonts w:ascii="Arial"/>
          <w:spacing w:val="-15"/>
          <w:w w:val="95"/>
          <w:sz w:val="22"/>
        </w:rPr>
        <w:t> </w:t>
      </w:r>
      <w:r>
        <w:rPr>
          <w:rFonts w:ascii="Arial"/>
          <w:w w:val="95"/>
          <w:sz w:val="22"/>
        </w:rPr>
        <w:t>paid</w:t>
      </w:r>
      <w:r>
        <w:rPr>
          <w:rFonts w:ascii="Arial"/>
          <w:spacing w:val="-16"/>
          <w:w w:val="95"/>
          <w:sz w:val="22"/>
        </w:rPr>
        <w:t> </w:t>
      </w:r>
      <w:r>
        <w:rPr>
          <w:rFonts w:ascii="Arial"/>
          <w:w w:val="95"/>
          <w:sz w:val="22"/>
        </w:rPr>
        <w:t>from</w:t>
      </w:r>
      <w:r>
        <w:rPr>
          <w:rFonts w:ascii="Arial"/>
          <w:spacing w:val="-14"/>
          <w:w w:val="95"/>
          <w:sz w:val="22"/>
        </w:rPr>
        <w:t> </w:t>
      </w:r>
      <w:r>
        <w:rPr>
          <w:rFonts w:ascii="Arial"/>
          <w:w w:val="95"/>
          <w:sz w:val="22"/>
        </w:rPr>
        <w:t>the</w:t>
      </w:r>
      <w:r>
        <w:rPr>
          <w:rFonts w:ascii="Arial"/>
          <w:spacing w:val="-15"/>
          <w:w w:val="95"/>
          <w:sz w:val="22"/>
        </w:rPr>
        <w:t> </w:t>
      </w:r>
      <w:r>
        <w:rPr>
          <w:rFonts w:ascii="Arial"/>
          <w:w w:val="95"/>
          <w:sz w:val="22"/>
        </w:rPr>
        <w:t>current</w:t>
      </w:r>
      <w:r>
        <w:rPr>
          <w:rFonts w:ascii="Arial"/>
          <w:spacing w:val="-17"/>
          <w:w w:val="95"/>
          <w:sz w:val="22"/>
        </w:rPr>
        <w:t> </w:t>
      </w:r>
      <w:r>
        <w:rPr>
          <w:rFonts w:ascii="Arial"/>
          <w:w w:val="95"/>
          <w:sz w:val="22"/>
        </w:rPr>
        <w:t>rate</w:t>
      </w:r>
      <w:r>
        <w:rPr>
          <w:rFonts w:ascii="Arial"/>
          <w:spacing w:val="-15"/>
          <w:w w:val="95"/>
          <w:sz w:val="22"/>
        </w:rPr>
        <w:t> </w:t>
      </w:r>
      <w:r>
        <w:rPr>
          <w:rFonts w:ascii="Arial"/>
          <w:w w:val="95"/>
          <w:sz w:val="22"/>
        </w:rPr>
        <w:t>period,</w:t>
      </w:r>
      <w:r>
        <w:rPr>
          <w:rFonts w:ascii="Arial"/>
          <w:spacing w:val="-17"/>
          <w:w w:val="95"/>
          <w:sz w:val="22"/>
        </w:rPr>
        <w:t> </w:t>
      </w:r>
      <w:r>
        <w:rPr>
          <w:rFonts w:ascii="Arial"/>
          <w:w w:val="95"/>
          <w:sz w:val="22"/>
        </w:rPr>
        <w:t>Customs</w:t>
      </w:r>
      <w:r>
        <w:rPr>
          <w:rFonts w:ascii="Arial"/>
          <w:spacing w:val="-16"/>
          <w:w w:val="95"/>
          <w:sz w:val="22"/>
        </w:rPr>
        <w:t> </w:t>
      </w:r>
      <w:r>
        <w:rPr>
          <w:rFonts w:ascii="Arial"/>
          <w:w w:val="95"/>
          <w:sz w:val="22"/>
        </w:rPr>
        <w:t>and </w:t>
      </w:r>
      <w:r>
        <w:rPr>
          <w:rFonts w:ascii="Arial"/>
          <w:sz w:val="22"/>
        </w:rPr>
        <w:t>Border</w:t>
      </w:r>
      <w:r>
        <w:rPr>
          <w:rFonts w:ascii="Arial"/>
          <w:spacing w:val="-18"/>
          <w:sz w:val="22"/>
        </w:rPr>
        <w:t> </w:t>
      </w:r>
      <w:r>
        <w:rPr>
          <w:rFonts w:ascii="Arial"/>
          <w:sz w:val="22"/>
        </w:rPr>
        <w:t>Protection</w:t>
      </w:r>
      <w:r>
        <w:rPr>
          <w:rFonts w:ascii="Arial"/>
          <w:spacing w:val="-16"/>
          <w:sz w:val="22"/>
        </w:rPr>
        <w:t> </w:t>
      </w:r>
      <w:r>
        <w:rPr>
          <w:rFonts w:ascii="Arial"/>
          <w:sz w:val="22"/>
        </w:rPr>
        <w:t>will</w:t>
      </w:r>
      <w:r>
        <w:rPr>
          <w:rFonts w:ascii="Arial"/>
          <w:spacing w:val="-18"/>
          <w:sz w:val="22"/>
        </w:rPr>
        <w:t> </w:t>
      </w:r>
      <w:r>
        <w:rPr>
          <w:rFonts w:ascii="Arial"/>
          <w:sz w:val="22"/>
        </w:rPr>
        <w:t>calculate</w:t>
      </w:r>
      <w:r>
        <w:rPr>
          <w:rFonts w:ascii="Arial"/>
          <w:spacing w:val="-14"/>
          <w:sz w:val="22"/>
        </w:rPr>
        <w:t> </w:t>
      </w:r>
      <w:r>
        <w:rPr>
          <w:rFonts w:ascii="Arial"/>
          <w:sz w:val="22"/>
        </w:rPr>
        <w:t>using</w:t>
      </w:r>
      <w:r>
        <w:rPr>
          <w:rFonts w:ascii="Arial"/>
          <w:spacing w:val="-16"/>
          <w:sz w:val="22"/>
        </w:rPr>
        <w:t> </w:t>
      </w:r>
      <w:r>
        <w:rPr>
          <w:rFonts w:ascii="Arial"/>
          <w:sz w:val="22"/>
        </w:rPr>
        <w:t>those</w:t>
      </w:r>
      <w:r>
        <w:rPr>
          <w:rFonts w:ascii="Arial"/>
          <w:spacing w:val="-15"/>
          <w:sz w:val="22"/>
        </w:rPr>
        <w:t> </w:t>
      </w:r>
      <w:r>
        <w:rPr>
          <w:rFonts w:ascii="Arial"/>
          <w:sz w:val="22"/>
        </w:rPr>
        <w:t>rates.</w:t>
      </w:r>
    </w:p>
    <w:p>
      <w:pPr>
        <w:spacing w:after="0" w:line="254" w:lineRule="auto"/>
        <w:jc w:val="left"/>
        <w:rPr>
          <w:rFonts w:ascii="Arial"/>
          <w:sz w:val="22"/>
        </w:rPr>
        <w:sectPr>
          <w:type w:val="continuous"/>
          <w:pgSz w:w="11900" w:h="16840"/>
          <w:pgMar w:top="1140" w:bottom="280" w:left="180" w:right="160"/>
        </w:sectPr>
      </w:pPr>
    </w:p>
    <w:p>
      <w:pPr>
        <w:spacing w:line="264" w:lineRule="auto" w:before="75"/>
        <w:ind w:left="359" w:right="412" w:firstLine="3"/>
        <w:jc w:val="left"/>
        <w:rPr>
          <w:rFonts w:ascii="Arial"/>
          <w:sz w:val="19"/>
        </w:rPr>
      </w:pPr>
      <w:r>
        <w:rPr/>
        <w:pict>
          <v:line style="position:absolute;mso-position-horizontal-relative:page;mso-position-vertical-relative:page;z-index:15729664" from=".120188pt,503.693998pt" to=".120188pt,453.236542pt" stroked="true" strokeweight=".240377pt" strokecolor="#000000">
            <v:stroke dashstyle="solid"/>
            <w10:wrap type="none"/>
          </v:line>
        </w:pict>
      </w:r>
      <w:r>
        <w:rPr/>
        <w:pict>
          <v:line style="position:absolute;mso-position-horizontal-relative:page;mso-position-vertical-relative:page;z-index:15730176" from=".120188pt,403.7402pt" to=".120188pt,326.372101pt" stroked="true" strokeweight=".240377pt" strokecolor="#000000">
            <v:stroke dashstyle="solid"/>
            <w10:wrap type="none"/>
          </v:line>
        </w:pict>
      </w:r>
      <w:r>
        <w:rPr>
          <w:rFonts w:ascii="Arial"/>
          <w:color w:val="42423B"/>
          <w:w w:val="105"/>
          <w:sz w:val="19"/>
        </w:rPr>
        <w:t>This methodology is consistent with Australian Customs Notice 2002/51 regarding use of duty rates for applications for drawback of customs duty under the Duty Drawback Scheme </w:t>
      </w:r>
      <w:r>
        <w:rPr>
          <w:rFonts w:ascii="Arial"/>
          <w:color w:val="5D5B56"/>
          <w:w w:val="105"/>
          <w:sz w:val="19"/>
        </w:rPr>
        <w:t>.</w:t>
      </w:r>
    </w:p>
    <w:p>
      <w:pPr>
        <w:pStyle w:val="BodyText"/>
        <w:spacing w:before="7"/>
        <w:rPr>
          <w:rFonts w:ascii="Arial"/>
          <w:sz w:val="19"/>
        </w:rPr>
      </w:pPr>
    </w:p>
    <w:p>
      <w:pPr>
        <w:spacing w:line="252" w:lineRule="auto" w:before="0"/>
        <w:ind w:left="359" w:right="412" w:firstLine="0"/>
        <w:jc w:val="left"/>
        <w:rPr>
          <w:rFonts w:ascii="Arial"/>
          <w:sz w:val="19"/>
        </w:rPr>
      </w:pPr>
      <w:r>
        <w:rPr>
          <w:rFonts w:ascii="Arial"/>
          <w:color w:val="42423B"/>
          <w:w w:val="105"/>
          <w:sz w:val="19"/>
        </w:rPr>
        <w:t>Where the volume threshold to apply for a refund of tobacco or tobacco products cannot be me</w:t>
      </w:r>
      <w:r>
        <w:rPr>
          <w:rFonts w:ascii="Arial"/>
          <w:color w:val="5D5B56"/>
          <w:w w:val="105"/>
          <w:sz w:val="19"/>
        </w:rPr>
        <w:t>t, </w:t>
      </w:r>
      <w:r>
        <w:rPr>
          <w:rFonts w:ascii="Arial"/>
          <w:color w:val="42423B"/>
          <w:w w:val="105"/>
          <w:sz w:val="19"/>
        </w:rPr>
        <w:t>owners of imported tobacco or tobacco products who obtained their goods through an Australian supply chain should contact their suppliers to see if the unsold tobacco or tobacco products can be returned</w:t>
      </w:r>
      <w:r>
        <w:rPr>
          <w:rFonts w:ascii="Arial"/>
          <w:color w:val="909187"/>
          <w:w w:val="105"/>
          <w:sz w:val="19"/>
        </w:rPr>
        <w:t>.</w:t>
      </w:r>
    </w:p>
    <w:p>
      <w:pPr>
        <w:pStyle w:val="BodyText"/>
        <w:spacing w:before="6"/>
        <w:rPr>
          <w:rFonts w:ascii="Arial"/>
        </w:rPr>
      </w:pPr>
    </w:p>
    <w:p>
      <w:pPr>
        <w:spacing w:line="249" w:lineRule="auto" w:before="0"/>
        <w:ind w:left="357" w:right="412" w:firstLine="5"/>
        <w:jc w:val="left"/>
        <w:rPr>
          <w:rFonts w:ascii="Arial"/>
          <w:sz w:val="19"/>
        </w:rPr>
      </w:pPr>
      <w:r>
        <w:rPr>
          <w:rFonts w:ascii="Arial"/>
          <w:color w:val="42423B"/>
          <w:w w:val="105"/>
          <w:sz w:val="19"/>
        </w:rPr>
        <w:t>Otherwise</w:t>
      </w:r>
      <w:r>
        <w:rPr>
          <w:rFonts w:ascii="Arial"/>
          <w:color w:val="5D5B56"/>
          <w:w w:val="105"/>
          <w:sz w:val="19"/>
        </w:rPr>
        <w:t>, </w:t>
      </w:r>
      <w:r>
        <w:rPr>
          <w:rFonts w:ascii="Arial"/>
          <w:color w:val="42423B"/>
          <w:w w:val="105"/>
          <w:sz w:val="19"/>
        </w:rPr>
        <w:t>owners can apply for a duty drawback under the Duty Drawback Scheme but they will need to satisfy certain requirements</w:t>
      </w:r>
      <w:r>
        <w:rPr>
          <w:rFonts w:ascii="Arial"/>
          <w:color w:val="5D5B56"/>
          <w:w w:val="105"/>
          <w:sz w:val="19"/>
        </w:rPr>
        <w:t>. </w:t>
      </w:r>
      <w:r>
        <w:rPr>
          <w:rFonts w:ascii="Arial"/>
          <w:color w:val="42423B"/>
          <w:w w:val="105"/>
          <w:sz w:val="19"/>
        </w:rPr>
        <w:t>Please refer to Australian Customs and Border Protection Notice 2012/61 for these details</w:t>
      </w:r>
      <w:r>
        <w:rPr>
          <w:rFonts w:ascii="Arial"/>
          <w:color w:val="5D5B56"/>
          <w:w w:val="105"/>
          <w:sz w:val="19"/>
        </w:rPr>
        <w:t>.</w:t>
      </w:r>
    </w:p>
    <w:p>
      <w:pPr>
        <w:pStyle w:val="BodyText"/>
        <w:spacing w:before="2"/>
        <w:rPr>
          <w:rFonts w:ascii="Arial"/>
          <w:sz w:val="13"/>
        </w:rPr>
      </w:pPr>
    </w:p>
    <w:p>
      <w:pPr>
        <w:spacing w:before="94"/>
        <w:ind w:left="359" w:right="0" w:firstLine="0"/>
        <w:jc w:val="left"/>
        <w:rPr>
          <w:rFonts w:ascii="Arial"/>
          <w:sz w:val="19"/>
        </w:rPr>
      </w:pPr>
      <w:r>
        <w:rPr>
          <w:rFonts w:ascii="Arial"/>
          <w:color w:val="42423B"/>
          <w:w w:val="105"/>
          <w:sz w:val="19"/>
        </w:rPr>
        <w:t>Inquiries concerning this notice may be directed by email to </w:t>
      </w:r>
      <w:hyperlink r:id="rId7">
        <w:r>
          <w:rPr>
            <w:rFonts w:ascii="Arial"/>
            <w:color w:val="4867C1"/>
            <w:w w:val="105"/>
            <w:sz w:val="19"/>
            <w:u w:val="thick" w:color="42423B"/>
          </w:rPr>
          <w:t>TobaccoRefund@customs.qov.au</w:t>
        </w:r>
        <w:r>
          <w:rPr>
            <w:rFonts w:ascii="Arial"/>
            <w:color w:val="42423B"/>
            <w:w w:val="105"/>
            <w:sz w:val="19"/>
          </w:rPr>
          <w:t>.</w:t>
        </w:r>
      </w:hyperlink>
    </w:p>
    <w:p>
      <w:pPr>
        <w:pStyle w:val="BodyText"/>
        <w:spacing w:before="8"/>
        <w:rPr>
          <w:rFonts w:ascii="Arial"/>
          <w:sz w:val="15"/>
        </w:rPr>
      </w:pPr>
      <w:r>
        <w:rPr/>
        <w:drawing>
          <wp:anchor distT="0" distB="0" distL="0" distR="0" allowOverlap="1" layoutInCell="1" locked="0" behindDoc="0" simplePos="0" relativeHeight="1">
            <wp:simplePos x="0" y="0"/>
            <wp:positionH relativeFrom="page">
              <wp:posOffset>1269956</wp:posOffset>
            </wp:positionH>
            <wp:positionV relativeFrom="paragraph">
              <wp:posOffset>139484</wp:posOffset>
            </wp:positionV>
            <wp:extent cx="1927160" cy="53644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927160" cy="536448"/>
                    </a:xfrm>
                    <a:prstGeom prst="rect">
                      <a:avLst/>
                    </a:prstGeom>
                  </pic:spPr>
                </pic:pic>
              </a:graphicData>
            </a:graphic>
          </wp:anchor>
        </w:drawing>
      </w:r>
    </w:p>
    <w:p>
      <w:pPr>
        <w:spacing w:line="259" w:lineRule="auto" w:before="63"/>
        <w:ind w:left="362" w:right="7223" w:hanging="1"/>
        <w:jc w:val="left"/>
        <w:rPr>
          <w:rFonts w:ascii="Arial"/>
          <w:sz w:val="19"/>
        </w:rPr>
      </w:pPr>
      <w:r>
        <w:rPr>
          <w:rFonts w:ascii="Arial"/>
          <w:color w:val="42423B"/>
          <w:w w:val="105"/>
          <w:sz w:val="19"/>
        </w:rPr>
        <w:t>Geoff Johannes National Manager</w:t>
      </w:r>
    </w:p>
    <w:p>
      <w:pPr>
        <w:spacing w:line="206" w:lineRule="exact" w:before="0"/>
        <w:ind w:left="363" w:right="0" w:firstLine="0"/>
        <w:jc w:val="left"/>
        <w:rPr>
          <w:rFonts w:ascii="Arial"/>
          <w:sz w:val="19"/>
        </w:rPr>
      </w:pPr>
      <w:r>
        <w:rPr/>
        <w:pict>
          <v:shapetype id="_x0000_t202" o:spt="202" coordsize="21600,21600" path="m,l,21600r21600,l21600,xe">
            <v:stroke joinstyle="miter"/>
            <v:path gradientshapeok="t" o:connecttype="rect"/>
          </v:shapetype>
          <v:shape style="position:absolute;margin-left:71.163452pt;margin-top:7.600929pt;width:20.85pt;height:38.050pt;mso-position-horizontal-relative:page;mso-position-vertical-relative:paragraph;z-index:-15768576" type="#_x0000_t202" filled="false" stroked="false">
            <v:textbox inset="0,0,0,0">
              <w:txbxContent>
                <w:p>
                  <w:pPr>
                    <w:spacing w:line="760" w:lineRule="exact" w:before="0"/>
                    <w:ind w:left="0" w:right="0" w:firstLine="0"/>
                    <w:jc w:val="left"/>
                    <w:rPr>
                      <w:rFonts w:ascii="Arial"/>
                      <w:sz w:val="68"/>
                    </w:rPr>
                  </w:pPr>
                  <w:r>
                    <w:rPr>
                      <w:rFonts w:ascii="Arial"/>
                      <w:color w:val="5D5B56"/>
                      <w:w w:val="110"/>
                      <w:sz w:val="68"/>
                    </w:rPr>
                    <w:t>0</w:t>
                  </w:r>
                </w:p>
              </w:txbxContent>
            </v:textbox>
            <w10:wrap type="none"/>
          </v:shape>
        </w:pict>
      </w:r>
      <w:r>
        <w:rPr>
          <w:rFonts w:ascii="Arial"/>
          <w:color w:val="42423B"/>
          <w:w w:val="105"/>
          <w:sz w:val="19"/>
        </w:rPr>
        <w:t>Trade</w:t>
      </w:r>
      <w:r>
        <w:rPr>
          <w:rFonts w:ascii="Arial"/>
          <w:color w:val="5D5B56"/>
          <w:w w:val="105"/>
          <w:sz w:val="19"/>
        </w:rPr>
        <w:t>, </w:t>
      </w:r>
      <w:r>
        <w:rPr>
          <w:rFonts w:ascii="Arial"/>
          <w:color w:val="42423B"/>
          <w:w w:val="105"/>
          <w:sz w:val="19"/>
        </w:rPr>
        <w:t>Policy &amp; Implementation Branch</w:t>
      </w:r>
    </w:p>
    <w:p>
      <w:pPr>
        <w:spacing w:line="265" w:lineRule="exact" w:before="0"/>
        <w:ind w:left="364" w:right="0" w:firstLine="0"/>
        <w:jc w:val="left"/>
        <w:rPr>
          <w:rFonts w:ascii="Courier New"/>
          <w:b/>
          <w:sz w:val="24"/>
        </w:rPr>
      </w:pPr>
      <w:r>
        <w:rPr>
          <w:rFonts w:ascii="Courier New"/>
          <w:b/>
          <w:color w:val="42423B"/>
          <w:sz w:val="24"/>
        </w:rPr>
        <w:t>CANBERRA ACT</w:t>
      </w:r>
    </w:p>
    <w:p>
      <w:pPr>
        <w:spacing w:before="119"/>
        <w:ind w:left="540" w:right="0" w:firstLine="0"/>
        <w:jc w:val="left"/>
        <w:rPr>
          <w:rFonts w:ascii="Arial"/>
          <w:sz w:val="19"/>
        </w:rPr>
      </w:pPr>
      <w:r>
        <w:rPr>
          <w:rFonts w:ascii="Arial"/>
          <w:color w:val="42423B"/>
          <w:w w:val="105"/>
          <w:sz w:val="19"/>
        </w:rPr>
        <w:t>November 2012</w:t>
      </w:r>
    </w:p>
    <w:sectPr>
      <w:pgSz w:w="12220" w:h="16840"/>
      <w:pgMar w:top="940" w:bottom="280" w:left="13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81" w:hanging="360"/>
      </w:pPr>
      <w:rPr>
        <w:rFonts w:hint="default" w:ascii="Helvetica" w:hAnsi="Helvetica" w:eastAsia="Helvetica" w:cs="Helvetica"/>
        <w:w w:val="99"/>
        <w:sz w:val="20"/>
        <w:szCs w:val="20"/>
      </w:rPr>
    </w:lvl>
    <w:lvl w:ilvl="1">
      <w:start w:val="0"/>
      <w:numFmt w:val="bullet"/>
      <w:lvlText w:val="•"/>
      <w:lvlJc w:val="left"/>
      <w:pPr>
        <w:ind w:left="2848" w:hanging="360"/>
      </w:pPr>
      <w:rPr>
        <w:rFonts w:hint="default"/>
      </w:rPr>
    </w:lvl>
    <w:lvl w:ilvl="2">
      <w:start w:val="0"/>
      <w:numFmt w:val="bullet"/>
      <w:lvlText w:val="•"/>
      <w:lvlJc w:val="left"/>
      <w:pPr>
        <w:ind w:left="3816" w:hanging="360"/>
      </w:pPr>
      <w:rPr>
        <w:rFonts w:hint="default"/>
      </w:rPr>
    </w:lvl>
    <w:lvl w:ilvl="3">
      <w:start w:val="0"/>
      <w:numFmt w:val="bullet"/>
      <w:lvlText w:val="•"/>
      <w:lvlJc w:val="left"/>
      <w:pPr>
        <w:ind w:left="4784" w:hanging="360"/>
      </w:pPr>
      <w:rPr>
        <w:rFonts w:hint="default"/>
      </w:rPr>
    </w:lvl>
    <w:lvl w:ilvl="4">
      <w:start w:val="0"/>
      <w:numFmt w:val="bullet"/>
      <w:lvlText w:val="•"/>
      <w:lvlJc w:val="left"/>
      <w:pPr>
        <w:ind w:left="5752" w:hanging="360"/>
      </w:pPr>
      <w:rPr>
        <w:rFonts w:hint="default"/>
      </w:rPr>
    </w:lvl>
    <w:lvl w:ilvl="5">
      <w:start w:val="0"/>
      <w:numFmt w:val="bullet"/>
      <w:lvlText w:val="•"/>
      <w:lvlJc w:val="left"/>
      <w:pPr>
        <w:ind w:left="6720" w:hanging="360"/>
      </w:pPr>
      <w:rPr>
        <w:rFonts w:hint="default"/>
      </w:rPr>
    </w:lvl>
    <w:lvl w:ilvl="6">
      <w:start w:val="0"/>
      <w:numFmt w:val="bullet"/>
      <w:lvlText w:val="•"/>
      <w:lvlJc w:val="left"/>
      <w:pPr>
        <w:ind w:left="7688" w:hanging="360"/>
      </w:pPr>
      <w:rPr>
        <w:rFonts w:hint="default"/>
      </w:rPr>
    </w:lvl>
    <w:lvl w:ilvl="7">
      <w:start w:val="0"/>
      <w:numFmt w:val="bullet"/>
      <w:lvlText w:val="•"/>
      <w:lvlJc w:val="left"/>
      <w:pPr>
        <w:ind w:left="8656" w:hanging="360"/>
      </w:pPr>
      <w:rPr>
        <w:rFonts w:hint="default"/>
      </w:rPr>
    </w:lvl>
    <w:lvl w:ilvl="8">
      <w:start w:val="0"/>
      <w:numFmt w:val="bullet"/>
      <w:lvlText w:val="•"/>
      <w:lvlJc w:val="left"/>
      <w:pPr>
        <w:ind w:left="962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ListParagraph" w:type="paragraph">
    <w:name w:val="List Paragraph"/>
    <w:basedOn w:val="Normal"/>
    <w:uiPriority w:val="1"/>
    <w:qFormat/>
    <w:pPr>
      <w:ind w:left="1881" w:right="1597" w:hanging="360"/>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TobaccoRefund@customs.qov.au" TargetMode="External"/><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2020-12-09T23:18:48Z</dcterms:created>
  <dcterms:modified xsi:type="dcterms:W3CDTF">2020-12-09T23:18:48Z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2013-05-09T00:00:00Z</vt:filetime>
  </property>
  <property fmtid="{D5CDD505-2E9C-101B-9397-08002B2CF9AE}" pid="3" name="Creator">
    <vt:lpwstr>DPE Build 5656</vt:lpwstr>
  </property>
  <property fmtid="{D5CDD505-2E9C-101B-9397-08002B2CF9AE}" pid="4" name="LastSaved">
    <vt:filetime>2020-12-09T00:00:00Z</vt:filetime>
  </property>
</Properties>
</file>