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sz w:val="26"/>
        </w:rPr>
      </w:pPr>
    </w:p>
    <w:p>
      <w:pPr>
        <w:pStyle w:val="Title"/>
        <w:spacing w:line="230" w:lineRule="auto" w:before="58"/>
        <w:ind w:left="232"/>
      </w:pPr>
      <w:r>
        <w:rPr/>
        <w:pict>
          <v:rect style="position:absolute;margin-left:83.639999pt;margin-top:36.08123pt;width:428.03999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2012/63</w:t>
      </w:r>
    </w:p>
    <w:p>
      <w:pPr>
        <w:pStyle w:val="Title"/>
      </w:pPr>
      <w:r>
        <w:rPr/>
        <w:t>Application for Customs Broker Licence</w:t>
      </w:r>
    </w:p>
    <w:p>
      <w:pPr>
        <w:pStyle w:val="BodyText"/>
        <w:spacing w:before="2"/>
        <w:rPr>
          <w:b/>
          <w:sz w:val="23"/>
        </w:rPr>
      </w:pPr>
    </w:p>
    <w:p>
      <w:pPr>
        <w:pStyle w:val="BodyText"/>
        <w:spacing w:line="235" w:lineRule="auto"/>
        <w:ind w:left="141" w:right="843"/>
      </w:pPr>
      <w:r>
        <w:rPr/>
        <w:t>The following company and individuals have applied to the Chief Executive Officer for a customs broker licence.</w:t>
      </w:r>
    </w:p>
    <w:p>
      <w:pPr>
        <w:pStyle w:val="BodyText"/>
      </w:pPr>
    </w:p>
    <w:p>
      <w:pPr>
        <w:pStyle w:val="BodyText"/>
        <w:spacing w:before="6"/>
        <w:rPr>
          <w:sz w:val="18"/>
        </w:rPr>
      </w:pPr>
    </w:p>
    <w:p>
      <w:pPr>
        <w:pStyle w:val="Heading1"/>
        <w:tabs>
          <w:tab w:pos="4394" w:val="left" w:leader="none"/>
        </w:tabs>
        <w:rPr>
          <w:u w:val="none"/>
        </w:rPr>
      </w:pPr>
      <w:r>
        <w:rPr>
          <w:u w:val="thick"/>
        </w:rPr>
        <w:t>COMPANY</w:t>
      </w:r>
      <w:r>
        <w:rPr>
          <w:u w:val="none"/>
        </w:rPr>
        <w:tab/>
      </w:r>
      <w:r>
        <w:rPr>
          <w:u w:val="thick"/>
        </w:rPr>
        <w:t>SOLE</w:t>
      </w:r>
      <w:r>
        <w:rPr>
          <w:spacing w:val="-3"/>
          <w:u w:val="thick"/>
        </w:rPr>
        <w:t> </w:t>
      </w:r>
      <w:r>
        <w:rPr>
          <w:u w:val="thick"/>
        </w:rPr>
        <w:t>TRADER</w:t>
      </w:r>
    </w:p>
    <w:p>
      <w:pPr>
        <w:pStyle w:val="BodyText"/>
        <w:tabs>
          <w:tab w:pos="4394" w:val="left" w:leader="none"/>
        </w:tabs>
        <w:spacing w:line="232" w:lineRule="auto" w:before="3"/>
        <w:ind w:left="141" w:right="2046"/>
      </w:pPr>
      <w:r>
        <w:rPr>
          <w:spacing w:val="-3"/>
        </w:rPr>
        <w:t>PW </w:t>
      </w:r>
      <w:r>
        <w:rPr/>
        <w:t>Leong Customs Broker</w:t>
      </w:r>
      <w:r>
        <w:rPr>
          <w:spacing w:val="2"/>
        </w:rPr>
        <w:t> </w:t>
      </w:r>
      <w:r>
        <w:rPr/>
        <w:t>Pty</w:t>
      </w:r>
      <w:r>
        <w:rPr>
          <w:spacing w:val="-5"/>
        </w:rPr>
        <w:t> </w:t>
      </w:r>
      <w:r>
        <w:rPr/>
        <w:t>Ltd</w:t>
        <w:tab/>
        <w:t>CHILVERS, John</w:t>
      </w:r>
      <w:r>
        <w:rPr>
          <w:spacing w:val="-9"/>
        </w:rPr>
        <w:t> </w:t>
      </w:r>
      <w:r>
        <w:rPr/>
        <w:t>Andrew ABN 53 159</w:t>
      </w:r>
      <w:r>
        <w:rPr>
          <w:spacing w:val="-2"/>
        </w:rPr>
        <w:t> </w:t>
      </w:r>
      <w:r>
        <w:rPr/>
        <w:t>980</w:t>
      </w:r>
      <w:r>
        <w:rPr>
          <w:spacing w:val="-3"/>
        </w:rPr>
        <w:t> </w:t>
      </w:r>
      <w:r>
        <w:rPr/>
        <w:t>328</w:t>
        <w:tab/>
        <w:t>ABN 96 162 339 883</w:t>
      </w:r>
    </w:p>
    <w:p>
      <w:pPr>
        <w:pStyle w:val="BodyText"/>
        <w:spacing w:line="228" w:lineRule="exact"/>
        <w:ind w:left="141"/>
      </w:pPr>
      <w:r>
        <w:rPr/>
        <w:t>Unit 2/43 Bogong Avenue</w:t>
      </w:r>
    </w:p>
    <w:p>
      <w:pPr>
        <w:tabs>
          <w:tab w:pos="4394" w:val="left" w:leader="none"/>
        </w:tabs>
        <w:spacing w:line="232" w:lineRule="exact" w:before="0"/>
        <w:ind w:left="141" w:right="0" w:firstLine="0"/>
        <w:jc w:val="left"/>
        <w:rPr>
          <w:b/>
          <w:sz w:val="20"/>
        </w:rPr>
      </w:pPr>
      <w:r>
        <w:rPr>
          <w:sz w:val="20"/>
        </w:rPr>
        <w:t>Glen Waverley</w:t>
      </w:r>
      <w:r>
        <w:rPr>
          <w:spacing w:val="-9"/>
          <w:sz w:val="20"/>
        </w:rPr>
        <w:t> </w:t>
      </w:r>
      <w:r>
        <w:rPr>
          <w:sz w:val="20"/>
        </w:rPr>
        <w:t>VIC</w:t>
      </w:r>
      <w:r>
        <w:rPr>
          <w:spacing w:val="-2"/>
          <w:sz w:val="20"/>
        </w:rPr>
        <w:t> </w:t>
      </w:r>
      <w:r>
        <w:rPr>
          <w:sz w:val="20"/>
        </w:rPr>
        <w:t>3150</w:t>
        <w:tab/>
      </w:r>
      <w:r>
        <w:rPr>
          <w:b/>
          <w:sz w:val="20"/>
          <w:u w:val="thick"/>
        </w:rPr>
        <w:t>INDIVIDUALS</w:t>
      </w:r>
    </w:p>
    <w:p>
      <w:pPr>
        <w:pStyle w:val="BodyText"/>
        <w:spacing w:line="229" w:lineRule="exact"/>
        <w:ind w:left="4394"/>
      </w:pPr>
      <w:r>
        <w:rPr/>
        <w:t>PICCOLO, Robin Tracey</w:t>
      </w:r>
    </w:p>
    <w:p>
      <w:pPr>
        <w:tabs>
          <w:tab w:pos="4394" w:val="left" w:leader="none"/>
        </w:tabs>
        <w:spacing w:line="232" w:lineRule="auto" w:before="3"/>
        <w:ind w:left="141" w:right="2004" w:firstLine="0"/>
        <w:jc w:val="left"/>
        <w:rPr>
          <w:sz w:val="20"/>
        </w:rPr>
      </w:pPr>
      <w:r>
        <w:rPr>
          <w:b/>
          <w:sz w:val="20"/>
        </w:rPr>
        <w:t>Person</w:t>
      </w:r>
      <w:r>
        <w:rPr>
          <w:b/>
          <w:spacing w:val="-4"/>
          <w:sz w:val="20"/>
        </w:rPr>
        <w:t> </w:t>
      </w:r>
      <w:r>
        <w:rPr>
          <w:b/>
          <w:sz w:val="20"/>
        </w:rPr>
        <w:t>in</w:t>
      </w:r>
      <w:r>
        <w:rPr>
          <w:b/>
          <w:spacing w:val="1"/>
          <w:sz w:val="20"/>
        </w:rPr>
        <w:t> </w:t>
      </w:r>
      <w:r>
        <w:rPr>
          <w:b/>
          <w:sz w:val="20"/>
        </w:rPr>
        <w:t>Authority</w:t>
        <w:tab/>
      </w:r>
      <w:r>
        <w:rPr>
          <w:sz w:val="20"/>
        </w:rPr>
        <w:t>SOH, Matthew Peng</w:t>
      </w:r>
      <w:r>
        <w:rPr>
          <w:spacing w:val="-11"/>
          <w:sz w:val="20"/>
        </w:rPr>
        <w:t> </w:t>
      </w:r>
      <w:r>
        <w:rPr>
          <w:sz w:val="20"/>
        </w:rPr>
        <w:t>Fook LEOW, Tok</w:t>
      </w:r>
      <w:r>
        <w:rPr>
          <w:spacing w:val="-1"/>
          <w:sz w:val="20"/>
        </w:rPr>
        <w:t> </w:t>
      </w:r>
      <w:r>
        <w:rPr>
          <w:sz w:val="20"/>
        </w:rPr>
        <w:t>Hong</w:t>
      </w:r>
    </w:p>
    <w:p>
      <w:pPr>
        <w:pStyle w:val="BodyText"/>
        <w:spacing w:line="230" w:lineRule="exact"/>
        <w:ind w:left="141"/>
      </w:pPr>
      <w:r>
        <w:rPr/>
        <w:t>LEONG, Pang Wai</w:t>
      </w:r>
    </w:p>
    <w:p>
      <w:pPr>
        <w:pStyle w:val="BodyText"/>
        <w:spacing w:before="9"/>
        <w:rPr>
          <w:sz w:val="18"/>
        </w:rPr>
      </w:pPr>
    </w:p>
    <w:p>
      <w:pPr>
        <w:pStyle w:val="Heading1"/>
        <w:rPr>
          <w:u w:val="none"/>
        </w:rPr>
      </w:pPr>
      <w:r>
        <w:rPr>
          <w:u w:val="none"/>
        </w:rPr>
        <w:t>Nominee</w:t>
      </w:r>
    </w:p>
    <w:p>
      <w:pPr>
        <w:pStyle w:val="BodyText"/>
        <w:spacing w:line="233" w:lineRule="exact"/>
        <w:ind w:left="141"/>
      </w:pPr>
      <w:r>
        <w:rPr/>
        <w:t>LEOW, Tok Hong</w:t>
      </w:r>
    </w:p>
    <w:p>
      <w:pPr>
        <w:pStyle w:val="BodyText"/>
      </w:pPr>
    </w:p>
    <w:p>
      <w:pPr>
        <w:pStyle w:val="BodyText"/>
        <w:spacing w:before="10"/>
        <w:rPr>
          <w:sz w:val="18"/>
        </w:rPr>
      </w:pPr>
    </w:p>
    <w:p>
      <w:pPr>
        <w:pStyle w:val="BodyText"/>
        <w:spacing w:line="235" w:lineRule="auto" w:before="1"/>
        <w:ind w:left="141"/>
      </w:pPr>
      <w:r>
        <w:rPr/>
        <w:t>Any persons wishing to make written representation in respect of these applications should address the correspondence by 10 December 2012 to:</w:t>
      </w:r>
    </w:p>
    <w:p>
      <w:pPr>
        <w:pStyle w:val="BodyText"/>
        <w:spacing w:before="9"/>
        <w:rPr>
          <w:sz w:val="13"/>
        </w:rPr>
      </w:pPr>
    </w:p>
    <w:p>
      <w:pPr>
        <w:spacing w:after="0"/>
        <w:rPr>
          <w:sz w:val="13"/>
        </w:rPr>
        <w:sectPr>
          <w:type w:val="continuous"/>
          <w:pgSz w:w="11900" w:h="16840"/>
          <w:pgMar w:top="1140" w:bottom="280" w:left="1560" w:right="1620"/>
        </w:sectPr>
      </w:pPr>
    </w:p>
    <w:p>
      <w:pPr>
        <w:pStyle w:val="BodyText"/>
        <w:spacing w:line="233" w:lineRule="exact" w:before="65"/>
        <w:ind w:left="141"/>
      </w:pPr>
      <w:r>
        <w:rPr/>
        <w:t>Broker Licensing</w:t>
      </w:r>
    </w:p>
    <w:p>
      <w:pPr>
        <w:pStyle w:val="BodyText"/>
        <w:spacing w:line="232" w:lineRule="auto" w:before="3"/>
        <w:ind w:left="141" w:right="20"/>
      </w:pPr>
      <w:r>
        <w:rPr/>
        <w:t>Australian Customs and Border Protection Service 5 Constitution Avenue</w:t>
      </w:r>
    </w:p>
    <w:p>
      <w:pPr>
        <w:pStyle w:val="BodyText"/>
        <w:spacing w:line="232" w:lineRule="exact"/>
        <w:ind w:left="141"/>
      </w:pPr>
      <w:r>
        <w:rPr/>
        <w:t>CANBERRA ACT 2601</w:t>
      </w:r>
    </w:p>
    <w:p>
      <w:pPr>
        <w:pStyle w:val="BodyText"/>
        <w:spacing w:before="7"/>
        <w:rPr>
          <w:sz w:val="15"/>
        </w:rPr>
      </w:pPr>
      <w:r>
        <w:rPr/>
        <w:br w:type="column"/>
      </w:r>
      <w:r>
        <w:rPr>
          <w:sz w:val="15"/>
        </w:rPr>
      </w:r>
    </w:p>
    <w:p>
      <w:pPr>
        <w:pStyle w:val="BodyText"/>
        <w:spacing w:line="235" w:lineRule="auto"/>
        <w:ind w:left="141"/>
      </w:pPr>
      <w:r>
        <w:rPr/>
        <w:t>Or email: </w:t>
      </w:r>
      <w:hyperlink r:id="rId5">
        <w:r>
          <w:rPr>
            <w:color w:val="0000FF"/>
            <w:w w:val="95"/>
            <w:u w:val="single" w:color="0000FF"/>
          </w:rPr>
          <w:t>brokers.licensing@customs.gov.au</w:t>
        </w:r>
      </w:hyperlink>
    </w:p>
    <w:p>
      <w:pPr>
        <w:spacing w:after="0" w:line="235" w:lineRule="auto"/>
        <w:sectPr>
          <w:type w:val="continuous"/>
          <w:pgSz w:w="11900" w:h="16840"/>
          <w:pgMar w:top="1140" w:bottom="280" w:left="1560" w:right="1620"/>
          <w:cols w:num="2" w:equalWidth="0">
            <w:col w:w="4639" w:space="509"/>
            <w:col w:w="3572"/>
          </w:cols>
        </w:sectPr>
      </w:pPr>
    </w:p>
    <w:p>
      <w:pPr>
        <w:pStyle w:val="BodyText"/>
        <w:spacing w:before="9"/>
        <w:rPr>
          <w:sz w:val="13"/>
        </w:rPr>
      </w:pPr>
      <w:r>
        <w:rPr/>
        <w:pict>
          <v:group style="position:absolute;margin-left:14.16pt;margin-top:56.639599pt;width:567.4pt;height:86.05pt;mso-position-horizontal-relative:page;mso-position-vertical-relative:page;z-index:-15770624" coordorigin="283,1133" coordsize="11348,1721">
            <v:shape style="position:absolute;left:283;top:1132;width:11348;height:1721" type="#_x0000_t75" stroked="false">
              <v:imagedata r:id="rId6" o:title=""/>
            </v:shape>
            <v:shapetype id="_x0000_t202" o:spt="202" coordsize="21600,21600" path="m,l,21600r21600,l21600,xe">
              <v:stroke joinstyle="miter"/>
              <v:path gradientshapeok="t" o:connecttype="rect"/>
            </v:shapetype>
            <v:shape style="position:absolute;left:1701;top:1163;width:189;height:200" type="#_x0000_t202" filled="false" stroked="false">
              <v:textbox inset="0,0,0,0">
                <w:txbxContent>
                  <w:p>
                    <w:pPr>
                      <w:spacing w:line="199" w:lineRule="exact" w:before="0"/>
                      <w:ind w:left="0" w:right="0" w:firstLine="0"/>
                      <w:jc w:val="left"/>
                      <w:rPr>
                        <w:sz w:val="20"/>
                      </w:rPr>
                    </w:pPr>
                    <w:r>
                      <w:rPr>
                        <w:sz w:val="20"/>
                      </w:rPr>
                      <w:t>fa</w:t>
                    </w:r>
                  </w:p>
                </w:txbxContent>
              </v:textbox>
              <w10:wrap type="none"/>
            </v:shape>
            <w10:wrap type="none"/>
          </v:group>
        </w:pict>
      </w:r>
    </w:p>
    <w:p>
      <w:pPr>
        <w:pStyle w:val="BodyText"/>
        <w:spacing w:line="235" w:lineRule="auto" w:before="68"/>
        <w:ind w:left="141" w:right="25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4"/>
        <w:rPr>
          <w:sz w:val="19"/>
        </w:rPr>
      </w:pPr>
    </w:p>
    <w:p>
      <w:pPr>
        <w:pStyle w:val="BodyText"/>
        <w:spacing w:line="235" w:lineRule="auto"/>
        <w:ind w:left="141" w:right="98"/>
      </w:pPr>
      <w:r>
        <w:rPr/>
        <w:t>Applicants will not be provided with a copy of the communication and details of its author unless Customs and Border Protection is authorised by the author to fully disclose the representation.</w:t>
      </w:r>
    </w:p>
    <w:p>
      <w:pPr>
        <w:pStyle w:val="BodyText"/>
      </w:pPr>
    </w:p>
    <w:p>
      <w:pPr>
        <w:pStyle w:val="BodyText"/>
      </w:pPr>
    </w:p>
    <w:p>
      <w:pPr>
        <w:pStyle w:val="BodyText"/>
      </w:pPr>
    </w:p>
    <w:p>
      <w:pPr>
        <w:pStyle w:val="BodyText"/>
      </w:pPr>
    </w:p>
    <w:p>
      <w:pPr>
        <w:pStyle w:val="BodyText"/>
      </w:pPr>
    </w:p>
    <w:p>
      <w:pPr>
        <w:pStyle w:val="BodyText"/>
        <w:spacing w:before="7"/>
        <w:rPr>
          <w:sz w:val="17"/>
        </w:rPr>
      </w:pPr>
    </w:p>
    <w:p>
      <w:pPr>
        <w:pStyle w:val="BodyText"/>
        <w:spacing w:line="232" w:lineRule="auto"/>
        <w:ind w:left="141" w:right="7503"/>
      </w:pPr>
      <w:r>
        <w:rPr/>
        <w:t>Neil Hogan A/g Director</w:t>
      </w:r>
    </w:p>
    <w:p>
      <w:pPr>
        <w:pStyle w:val="BodyText"/>
        <w:spacing w:line="235" w:lineRule="auto" w:before="1"/>
        <w:ind w:left="141" w:right="5290"/>
      </w:pPr>
      <w:r>
        <w:rPr/>
        <w:t>Compliance Policy and Development CANBERRA</w:t>
      </w:r>
      <w:r>
        <w:rPr>
          <w:spacing w:val="55"/>
        </w:rPr>
        <w:t> </w:t>
      </w:r>
      <w:r>
        <w:rPr/>
        <w:t>ACT</w:t>
      </w:r>
    </w:p>
    <w:p>
      <w:pPr>
        <w:pStyle w:val="BodyText"/>
        <w:spacing w:before="116"/>
        <w:ind w:left="141"/>
      </w:pPr>
      <w:r>
        <w:rPr/>
        <w:t>21 November 2012</w:t>
      </w:r>
    </w:p>
    <w:sectPr>
      <w:type w:val="continuous"/>
      <w:pgSz w:w="11900" w:h="16840"/>
      <w:pgMar w:top="1140" w:bottom="280" w:left="1560" w:right="1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Heading1" w:type="paragraph">
    <w:name w:val="Heading 1"/>
    <w:basedOn w:val="Normal"/>
    <w:uiPriority w:val="1"/>
    <w:qFormat/>
    <w:pPr>
      <w:spacing w:before="1" w:line="237" w:lineRule="exact"/>
      <w:ind w:left="141"/>
      <w:outlineLvl w:val="1"/>
    </w:pPr>
    <w:rPr>
      <w:rFonts w:ascii="Helvetica" w:hAnsi="Helvetica" w:eastAsia="Helvetica" w:cs="Helvetica"/>
      <w:b/>
      <w:bCs/>
      <w:sz w:val="20"/>
      <w:szCs w:val="20"/>
      <w:u w:val="single" w:color="000000"/>
    </w:rPr>
  </w:style>
  <w:style w:styleId="Title" w:type="paragraph">
    <w:name w:val="Title"/>
    <w:basedOn w:val="Normal"/>
    <w:uiPriority w:val="1"/>
    <w:qFormat/>
    <w:pPr>
      <w:ind w:left="226" w:right="162"/>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brokers.licensing@customs.gov.au" TargetMode="Externa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c8kfo</dc:creator>
  <dc:title>Microsoft Word - ACN 2012-63</dc:title>
  <dcterms:created xsi:type="dcterms:W3CDTF">2020-12-09T23:23:01Z</dcterms:created>
  <dcterms:modified xsi:type="dcterms:W3CDTF">2020-12-09T23:23:01Z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2012-11-21T00:00:00Z</vt:filetime>
  </property>
  <property fmtid="{D5CDD505-2E9C-101B-9397-08002B2CF9AE}" pid="3" name="Creator">
    <vt:lpwstr>PScript5.dll Version 5.2.2</vt:lpwstr>
  </property>
  <property fmtid="{D5CDD505-2E9C-101B-9397-08002B2CF9AE}" pid="4" name="LastSaved">
    <vt:filetime>2020-12-09T00:00:00Z</vt:filetime>
  </property>
</Properties>
</file>