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2"/>
        </w:rPr>
      </w:pPr>
      <w:r>
        <w:rPr/>
        <w:pict>
          <v:rect style="position:absolute;margin-left:0pt;margin-top:172.158417pt;width:.600941pt;height:670.84162pt;mso-position-horizontal-relative:page;mso-position-vertical-relative:page;z-index:15730176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5762432" from="12.499581pt,135.370377pt" to="585.557319pt,135.370377pt" stroked="true" strokeweight="7.213342pt" strokecolor="#000000">
            <v:stroke dashstyle="solid"/>
            <w10:wrap type="none"/>
          </v:line>
        </w:pict>
      </w: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696034</wp:posOffset>
            </wp:positionH>
            <wp:positionV relativeFrom="paragraph">
              <wp:posOffset>-95707</wp:posOffset>
            </wp:positionV>
            <wp:extent cx="879200" cy="63515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200" cy="63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5079"/>
          <w:w w:val="90"/>
          <w:u w:val="thick" w:color="445079"/>
        </w:rPr>
        <w:t>Australian</w:t>
      </w:r>
      <w:r>
        <w:rPr>
          <w:color w:val="445079"/>
          <w:spacing w:val="46"/>
          <w:w w:val="90"/>
          <w:u w:val="thick" w:color="445079"/>
        </w:rPr>
        <w:t> </w:t>
      </w:r>
      <w:r>
        <w:rPr>
          <w:color w:val="445079"/>
          <w:w w:val="90"/>
          <w:u w:val="thick" w:color="445079"/>
        </w:rPr>
        <w:t>Government</w:t>
      </w:r>
    </w:p>
    <w:p>
      <w:pPr>
        <w:spacing w:line="252" w:lineRule="auto" w:before="125"/>
        <w:ind w:left="1620" w:right="4618" w:hanging="2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color w:val="445079"/>
          <w:sz w:val="25"/>
        </w:rPr>
        <w:t>Australian Customs and </w:t>
      </w:r>
      <w:r>
        <w:rPr>
          <w:rFonts w:ascii="Times New Roman"/>
          <w:b/>
          <w:color w:val="445079"/>
          <w:w w:val="95"/>
          <w:sz w:val="25"/>
        </w:rPr>
        <w:t>Border Protection</w:t>
      </w:r>
      <w:r>
        <w:rPr>
          <w:rFonts w:ascii="Times New Roman"/>
          <w:b/>
          <w:color w:val="445079"/>
          <w:spacing w:val="5"/>
          <w:w w:val="95"/>
          <w:sz w:val="25"/>
        </w:rPr>
        <w:t> </w:t>
      </w:r>
      <w:r>
        <w:rPr>
          <w:rFonts w:ascii="Times New Roman"/>
          <w:b/>
          <w:color w:val="445079"/>
          <w:w w:val="95"/>
          <w:sz w:val="25"/>
        </w:rPr>
        <w:t>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spacing w:before="93"/>
        <w:ind w:left="1396" w:right="926" w:firstLine="0"/>
        <w:jc w:val="center"/>
        <w:rPr>
          <w:b/>
          <w:sz w:val="23"/>
        </w:rPr>
      </w:pPr>
      <w:r>
        <w:rPr>
          <w:b/>
          <w:color w:val="464844"/>
          <w:w w:val="105"/>
          <w:sz w:val="23"/>
        </w:rPr>
        <w:t>AUSTRALIAN CUSTOMS AND BORDER PROTECTION NOTICE</w:t>
      </w:r>
    </w:p>
    <w:p>
      <w:pPr>
        <w:spacing w:before="63"/>
        <w:ind w:left="1396" w:right="646" w:firstLine="0"/>
        <w:jc w:val="center"/>
        <w:rPr>
          <w:b/>
          <w:sz w:val="23"/>
        </w:rPr>
      </w:pPr>
      <w:r>
        <w:rPr/>
        <w:pict>
          <v:shape style="position:absolute;margin-left:87.49707pt;margin-top:20.90984pt;width:428.85pt;height:.1pt;mso-position-horizontal-relative:page;mso-position-vertical-relative:paragraph;z-index:-15728640;mso-wrap-distance-left:0;mso-wrap-distance-right:0" coordorigin="1750,418" coordsize="8577,0" path="m1750,418l10327,418e" filled="false" stroked="true" strokeweight=".721334pt" strokecolor="#000000">
            <v:path arrowok="t"/>
            <v:stroke dashstyle="solid"/>
            <w10:wrap type="topAndBottom"/>
          </v:shape>
        </w:pict>
      </w:r>
      <w:r>
        <w:rPr>
          <w:b/>
          <w:color w:val="464844"/>
          <w:w w:val="105"/>
          <w:sz w:val="23"/>
        </w:rPr>
        <w:t>NO: 2012/71</w:t>
      </w:r>
    </w:p>
    <w:p>
      <w:pPr>
        <w:pStyle w:val="BodyText"/>
        <w:spacing w:before="7"/>
        <w:rPr>
          <w:b/>
          <w:sz w:val="25"/>
        </w:rPr>
      </w:pPr>
    </w:p>
    <w:p>
      <w:pPr>
        <w:spacing w:before="0"/>
        <w:ind w:left="1396" w:right="913" w:firstLine="0"/>
        <w:jc w:val="center"/>
        <w:rPr>
          <w:b/>
          <w:sz w:val="19"/>
        </w:rPr>
      </w:pPr>
      <w:r>
        <w:rPr>
          <w:b/>
          <w:color w:val="464844"/>
          <w:w w:val="105"/>
          <w:sz w:val="19"/>
        </w:rPr>
        <w:t>Repeal of regulation 9AAA - export of bulk wheat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spacing w:line="249" w:lineRule="auto" w:before="0"/>
        <w:ind w:left="730" w:right="308" w:hanging="5"/>
        <w:jc w:val="left"/>
        <w:rPr>
          <w:i/>
          <w:sz w:val="19"/>
        </w:rPr>
      </w:pPr>
      <w:r>
        <w:rPr>
          <w:color w:val="464844"/>
          <w:w w:val="105"/>
          <w:sz w:val="19"/>
        </w:rPr>
        <w:t>Under the wheat export marketing arrangements established in 2008</w:t>
      </w:r>
      <w:r>
        <w:rPr>
          <w:color w:val="676766"/>
          <w:w w:val="105"/>
          <w:sz w:val="19"/>
        </w:rPr>
        <w:t>, </w:t>
      </w:r>
      <w:r>
        <w:rPr>
          <w:color w:val="464844"/>
          <w:w w:val="105"/>
          <w:sz w:val="19"/>
        </w:rPr>
        <w:t>the export of bulk wheat was prohib</w:t>
      </w:r>
      <w:r>
        <w:rPr>
          <w:color w:val="676766"/>
          <w:w w:val="105"/>
          <w:sz w:val="19"/>
        </w:rPr>
        <w:t>i</w:t>
      </w:r>
      <w:r>
        <w:rPr>
          <w:color w:val="464844"/>
          <w:w w:val="105"/>
          <w:sz w:val="19"/>
        </w:rPr>
        <w:t>ted by regulation 9AAA of the </w:t>
      </w:r>
      <w:r>
        <w:rPr>
          <w:i/>
          <w:color w:val="464844"/>
          <w:w w:val="105"/>
          <w:sz w:val="19"/>
        </w:rPr>
        <w:t>Customs (Prohib</w:t>
      </w:r>
      <w:r>
        <w:rPr>
          <w:i/>
          <w:color w:val="676766"/>
          <w:w w:val="105"/>
          <w:sz w:val="19"/>
        </w:rPr>
        <w:t>i</w:t>
      </w:r>
      <w:r>
        <w:rPr>
          <w:i/>
          <w:color w:val="464844"/>
          <w:w w:val="105"/>
          <w:sz w:val="19"/>
        </w:rPr>
        <w:t>ted Exports) Regulations 1958 </w:t>
      </w:r>
      <w:r>
        <w:rPr>
          <w:color w:val="464844"/>
          <w:w w:val="105"/>
          <w:sz w:val="19"/>
        </w:rPr>
        <w:t>(PE Regulations) unless the wheat was exported by an accredited wheat exporter</w:t>
      </w:r>
      <w:r>
        <w:rPr>
          <w:color w:val="676766"/>
          <w:w w:val="105"/>
          <w:sz w:val="19"/>
        </w:rPr>
        <w:t>. </w:t>
      </w:r>
      <w:r>
        <w:rPr>
          <w:color w:val="464844"/>
          <w:w w:val="105"/>
          <w:sz w:val="19"/>
        </w:rPr>
        <w:t>An accredited wheat exporter was defined under the </w:t>
      </w:r>
      <w:r>
        <w:rPr>
          <w:i/>
          <w:color w:val="464844"/>
          <w:w w:val="105"/>
          <w:sz w:val="19"/>
        </w:rPr>
        <w:t>Wheat Export Marketing Act 2008 (WEM Act)</w:t>
      </w:r>
      <w:r>
        <w:rPr>
          <w:i/>
          <w:color w:val="676766"/>
          <w:w w:val="105"/>
          <w:sz w:val="19"/>
        </w:rPr>
        <w:t>.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254" w:lineRule="auto"/>
        <w:ind w:left="736" w:right="308"/>
      </w:pPr>
      <w:r>
        <w:rPr>
          <w:color w:val="464844"/>
          <w:w w:val="105"/>
        </w:rPr>
        <w:t>A Productivity Commission report into the wheat export marketing arrangements recommended a number of changes to the current procedu</w:t>
      </w:r>
      <w:r>
        <w:rPr>
          <w:color w:val="4F603D"/>
          <w:w w:val="105"/>
        </w:rPr>
        <w:t>r</w:t>
      </w:r>
      <w:r>
        <w:rPr>
          <w:color w:val="464844"/>
          <w:w w:val="105"/>
        </w:rPr>
        <w:t>es</w:t>
      </w:r>
      <w:r>
        <w:rPr>
          <w:color w:val="676766"/>
          <w:w w:val="105"/>
        </w:rPr>
        <w:t>. </w:t>
      </w:r>
      <w:r>
        <w:rPr>
          <w:color w:val="464844"/>
          <w:w w:val="105"/>
        </w:rPr>
        <w:t>On 29 November 2012</w:t>
      </w:r>
      <w:r>
        <w:rPr>
          <w:color w:val="676766"/>
          <w:w w:val="105"/>
        </w:rPr>
        <w:t>, </w:t>
      </w:r>
      <w:r>
        <w:rPr>
          <w:color w:val="464844"/>
          <w:w w:val="105"/>
        </w:rPr>
        <w:t>the </w:t>
      </w:r>
      <w:r>
        <w:rPr>
          <w:i/>
          <w:color w:val="464844"/>
          <w:w w:val="105"/>
        </w:rPr>
        <w:t>Wheat Export Marketing Amendment Act 2012 </w:t>
      </w:r>
      <w:r>
        <w:rPr>
          <w:color w:val="464844"/>
          <w:w w:val="105"/>
        </w:rPr>
        <w:t>was passed by the Australian Parliament as a direct result of the Productivity Commission report. This Ac</w:t>
      </w:r>
      <w:r>
        <w:rPr>
          <w:color w:val="4F603D"/>
          <w:w w:val="105"/>
        </w:rPr>
        <w:t>t </w:t>
      </w:r>
      <w:r>
        <w:rPr>
          <w:color w:val="464844"/>
          <w:w w:val="105"/>
        </w:rPr>
        <w:t>amends the WEM Act and ensures that owners, operators or controllers of port terminal facilities </w:t>
      </w:r>
      <w:r>
        <w:rPr>
          <w:color w:val="676766"/>
          <w:w w:val="105"/>
        </w:rPr>
        <w:t>, </w:t>
      </w:r>
      <w:r>
        <w:rPr>
          <w:color w:val="464844"/>
          <w:w w:val="105"/>
        </w:rPr>
        <w:t>that also export bulk wheat</w:t>
      </w:r>
      <w:r>
        <w:rPr>
          <w:color w:val="676766"/>
          <w:w w:val="105"/>
        </w:rPr>
        <w:t>, </w:t>
      </w:r>
      <w:r>
        <w:rPr>
          <w:color w:val="464844"/>
          <w:w w:val="105"/>
        </w:rPr>
        <w:t>must provide fair and transparent access to their facilit</w:t>
      </w:r>
      <w:r>
        <w:rPr>
          <w:color w:val="676766"/>
          <w:w w:val="105"/>
        </w:rPr>
        <w:t>i</w:t>
      </w:r>
      <w:r>
        <w:rPr>
          <w:color w:val="464844"/>
          <w:w w:val="105"/>
        </w:rPr>
        <w:t>es to other exporters</w:t>
      </w:r>
      <w:r>
        <w:rPr>
          <w:color w:val="676766"/>
          <w:w w:val="105"/>
        </w:rPr>
        <w:t>.</w:t>
      </w:r>
    </w:p>
    <w:p>
      <w:pPr>
        <w:pStyle w:val="BodyText"/>
        <w:spacing w:before="3"/>
      </w:pPr>
    </w:p>
    <w:p>
      <w:pPr>
        <w:pStyle w:val="BodyText"/>
        <w:spacing w:line="252" w:lineRule="auto"/>
        <w:ind w:left="743" w:right="308" w:firstLine="1"/>
      </w:pPr>
      <w:r>
        <w:rPr>
          <w:color w:val="464844"/>
          <w:w w:val="105"/>
        </w:rPr>
        <w:t>From 10 Decembe</w:t>
      </w:r>
      <w:r>
        <w:rPr>
          <w:color w:val="676766"/>
          <w:w w:val="105"/>
        </w:rPr>
        <w:t>r </w:t>
      </w:r>
      <w:r>
        <w:rPr>
          <w:color w:val="464844"/>
          <w:spacing w:val="-5"/>
          <w:w w:val="105"/>
        </w:rPr>
        <w:t>2012</w:t>
      </w:r>
      <w:r>
        <w:rPr>
          <w:color w:val="676766"/>
          <w:spacing w:val="-5"/>
          <w:w w:val="105"/>
        </w:rPr>
        <w:t>, </w:t>
      </w:r>
      <w:r>
        <w:rPr>
          <w:color w:val="464844"/>
          <w:w w:val="105"/>
        </w:rPr>
        <w:t>the Department o</w:t>
      </w:r>
      <w:r>
        <w:rPr>
          <w:color w:val="4F603D"/>
          <w:w w:val="105"/>
        </w:rPr>
        <w:t>f </w:t>
      </w:r>
      <w:r>
        <w:rPr>
          <w:color w:val="464844"/>
          <w:w w:val="105"/>
        </w:rPr>
        <w:t>Agriculture, Fisher</w:t>
      </w:r>
      <w:r>
        <w:rPr>
          <w:color w:val="676766"/>
          <w:w w:val="105"/>
        </w:rPr>
        <w:t>i</w:t>
      </w:r>
      <w:r>
        <w:rPr>
          <w:color w:val="464844"/>
          <w:w w:val="105"/>
        </w:rPr>
        <w:t>es and Forestry (DAFF) will be administering requirements for Port Terminal Operators that also export </w:t>
      </w:r>
      <w:r>
        <w:rPr>
          <w:color w:val="464844"/>
          <w:spacing w:val="-3"/>
          <w:w w:val="105"/>
        </w:rPr>
        <w:t>wheat</w:t>
      </w:r>
      <w:r>
        <w:rPr>
          <w:color w:val="676766"/>
          <w:spacing w:val="-3"/>
          <w:w w:val="105"/>
        </w:rPr>
        <w:t>, </w:t>
      </w:r>
      <w:r>
        <w:rPr>
          <w:color w:val="464844"/>
          <w:w w:val="105"/>
        </w:rPr>
        <w:t>to satisfy an access test to their facilities. The purpose of this test is to avoid regional monopolies unfairly controlling infrastructure required to export wheat in bulk quantities</w:t>
      </w:r>
      <w:r>
        <w:rPr>
          <w:color w:val="676766"/>
          <w:w w:val="105"/>
        </w:rPr>
        <w:t>. </w:t>
      </w:r>
      <w:r>
        <w:rPr>
          <w:color w:val="464844"/>
          <w:w w:val="105"/>
        </w:rPr>
        <w:t>A Port Terminal Operator will be required to have either an access undertaking in place under Division 6 of Part IIIA of the </w:t>
      </w:r>
      <w:r>
        <w:rPr>
          <w:i/>
          <w:color w:val="464844"/>
          <w:w w:val="105"/>
        </w:rPr>
        <w:t>Competition and Consumer Act 2010 </w:t>
      </w:r>
      <w:r>
        <w:rPr>
          <w:color w:val="464844"/>
          <w:w w:val="105"/>
        </w:rPr>
        <w:t>or a state or territory regime in place under Division 2A of Part IIIA of the </w:t>
      </w:r>
      <w:r>
        <w:rPr>
          <w:i/>
          <w:color w:val="464844"/>
          <w:w w:val="105"/>
        </w:rPr>
        <w:t>Competition and Consumer Act 2010 </w:t>
      </w:r>
      <w:r>
        <w:rPr>
          <w:color w:val="464844"/>
          <w:w w:val="105"/>
        </w:rPr>
        <w:t>and adhere to continuous disclosure rules as set out in the amended 2008 WEM Act. The Australian Competition and Consumer Commission (ACCC) will monitor a Port Terminal Operator</w:t>
      </w:r>
      <w:r>
        <w:rPr>
          <w:color w:val="676766"/>
          <w:w w:val="105"/>
        </w:rPr>
        <w:t>'</w:t>
      </w:r>
      <w:r>
        <w:rPr>
          <w:color w:val="464844"/>
          <w:w w:val="105"/>
        </w:rPr>
        <w:t>s compliance with the access undertaking and the continuous disclosure</w:t>
      </w:r>
      <w:r>
        <w:rPr>
          <w:color w:val="464844"/>
          <w:spacing w:val="46"/>
          <w:w w:val="105"/>
        </w:rPr>
        <w:t> </w:t>
      </w:r>
      <w:r>
        <w:rPr>
          <w:color w:val="464844"/>
          <w:w w:val="105"/>
        </w:rPr>
        <w:t>rules</w:t>
      </w:r>
      <w:r>
        <w:rPr>
          <w:color w:val="676766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line="252" w:lineRule="auto"/>
        <w:ind w:left="743" w:right="364" w:firstLine="3"/>
        <w:jc w:val="both"/>
      </w:pPr>
      <w:r>
        <w:rPr>
          <w:color w:val="464844"/>
          <w:w w:val="105"/>
        </w:rPr>
        <w:t>To enable the new arrangements to commence</w:t>
      </w:r>
      <w:r>
        <w:rPr>
          <w:color w:val="676766"/>
          <w:w w:val="105"/>
        </w:rPr>
        <w:t>, </w:t>
      </w:r>
      <w:r>
        <w:rPr>
          <w:color w:val="464844"/>
          <w:w w:val="105"/>
        </w:rPr>
        <w:t>regulation 9AAA of the PE Regulations will be repealed from 10 December 2012</w:t>
      </w:r>
      <w:r>
        <w:rPr>
          <w:color w:val="676766"/>
          <w:w w:val="105"/>
        </w:rPr>
        <w:t>. </w:t>
      </w:r>
      <w:r>
        <w:rPr>
          <w:color w:val="464844"/>
          <w:w w:val="105"/>
        </w:rPr>
        <w:t>There will no longer be a requirement to provide a permit to Customs and Border Protection when expor</w:t>
      </w:r>
      <w:r>
        <w:rPr>
          <w:color w:val="4F603D"/>
          <w:w w:val="105"/>
        </w:rPr>
        <w:t>t</w:t>
      </w:r>
      <w:r>
        <w:rPr>
          <w:color w:val="464844"/>
          <w:w w:val="105"/>
        </w:rPr>
        <w:t>ing bulk wheat.</w:t>
      </w:r>
    </w:p>
    <w:p>
      <w:pPr>
        <w:pStyle w:val="BodyText"/>
        <w:rPr>
          <w:sz w:val="20"/>
        </w:rPr>
      </w:pPr>
    </w:p>
    <w:p>
      <w:pPr>
        <w:pStyle w:val="BodyText"/>
        <w:spacing w:line="259" w:lineRule="auto" w:before="1"/>
        <w:ind w:left="745" w:right="308" w:hanging="1"/>
      </w:pPr>
      <w:r>
        <w:rPr>
          <w:color w:val="464844"/>
          <w:w w:val="105"/>
        </w:rPr>
        <w:t>For enquiries regarding the new arrangements </w:t>
      </w:r>
      <w:r>
        <w:rPr>
          <w:color w:val="676766"/>
          <w:w w:val="105"/>
        </w:rPr>
        <w:t>, </w:t>
      </w:r>
      <w:r>
        <w:rPr>
          <w:color w:val="464844"/>
          <w:w w:val="105"/>
        </w:rPr>
        <w:t>please visit the DAFF website at </w:t>
      </w:r>
      <w:hyperlink r:id="rId6">
        <w:r>
          <w:rPr>
            <w:color w:val="3B50A1"/>
            <w:w w:val="105"/>
            <w:u w:val="thick" w:color="3B50A1"/>
          </w:rPr>
          <w:t>www</w:t>
        </w:r>
        <w:r>
          <w:rPr>
            <w:color w:val="5766B1"/>
            <w:w w:val="105"/>
            <w:u w:val="thick" w:color="3B50A1"/>
          </w:rPr>
          <w:t>.</w:t>
        </w:r>
        <w:r>
          <w:rPr>
            <w:color w:val="3B50A1"/>
            <w:w w:val="105"/>
            <w:u w:val="thick" w:color="3B50A1"/>
          </w:rPr>
          <w:t>daff</w:t>
        </w:r>
        <w:r>
          <w:rPr>
            <w:color w:val="5766B1"/>
            <w:w w:val="105"/>
            <w:u w:val="thick" w:color="3B50A1"/>
          </w:rPr>
          <w:t>.</w:t>
        </w:r>
        <w:r>
          <w:rPr>
            <w:color w:val="3B50A1"/>
            <w:w w:val="105"/>
            <w:u w:val="thick" w:color="3B50A1"/>
          </w:rPr>
          <w:t>gov.au</w:t>
        </w:r>
      </w:hyperlink>
    </w:p>
    <w:p>
      <w:pPr>
        <w:pStyle w:val="BodyText"/>
        <w:spacing w:before="2"/>
      </w:pPr>
    </w:p>
    <w:p>
      <w:pPr>
        <w:pStyle w:val="BodyText"/>
        <w:spacing w:line="259" w:lineRule="auto"/>
        <w:ind w:left="746" w:right="308" w:hanging="4"/>
      </w:pPr>
      <w:r>
        <w:rPr/>
        <w:pict>
          <v:group style="position:absolute;margin-left:85.57402pt;margin-top:21.414045pt;width:154.85pt;height:47.15pt;mso-position-horizontal-relative:page;mso-position-vertical-relative:paragraph;z-index:-15763456" coordorigin="1711,428" coordsize="3097,943">
            <v:shape style="position:absolute;left:1711;top:428;width:2385;height:943" type="#_x0000_t75" stroked="false">
              <v:imagedata r:id="rId7" o:title=""/>
            </v:shape>
            <v:line style="position:absolute" from="4096,1092" to="4808,1092" stroked="true" strokeweight=".961779pt" strokecolor="#000000">
              <v:stroke dashstyle="solid"/>
            </v:line>
            <w10:wrap type="none"/>
          </v:group>
        </w:pict>
      </w:r>
      <w:r>
        <w:rPr>
          <w:color w:val="464844"/>
          <w:w w:val="105"/>
        </w:rPr>
        <w:t>If you have a query regarding the provision of continuous disclosure rules</w:t>
      </w:r>
      <w:r>
        <w:rPr>
          <w:color w:val="676766"/>
          <w:w w:val="105"/>
        </w:rPr>
        <w:t>, </w:t>
      </w:r>
      <w:r>
        <w:rPr>
          <w:color w:val="464844"/>
          <w:w w:val="105"/>
        </w:rPr>
        <w:t>please email the ACCC at </w:t>
      </w:r>
      <w:hyperlink r:id="rId8">
        <w:r>
          <w:rPr>
            <w:color w:val="3B50A1"/>
            <w:w w:val="105"/>
            <w:u w:val="thick" w:color="3B50A1"/>
          </w:rPr>
          <w:t>WheatPortsCDR@accc </w:t>
        </w:r>
        <w:r>
          <w:rPr>
            <w:color w:val="5766B1"/>
            <w:w w:val="105"/>
            <w:u w:val="thick" w:color="3B50A1"/>
          </w:rPr>
          <w:t>.</w:t>
        </w:r>
        <w:r>
          <w:rPr>
            <w:color w:val="3B50A1"/>
            <w:w w:val="105"/>
            <w:u w:val="thick" w:color="3B50A1"/>
          </w:rPr>
          <w:t>gov</w:t>
        </w:r>
        <w:r>
          <w:rPr>
            <w:color w:val="5766B1"/>
            <w:w w:val="105"/>
            <w:u w:val="thick" w:color="3B50A1"/>
          </w:rPr>
          <w:t>.</w:t>
        </w:r>
        <w:r>
          <w:rPr>
            <w:color w:val="3B50A1"/>
            <w:w w:val="105"/>
            <w:u w:val="thick" w:color="3B50A1"/>
          </w:rPr>
          <w:t>au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ind w:left="740"/>
        <w:jc w:val="both"/>
      </w:pPr>
      <w:r>
        <w:rPr>
          <w:color w:val="464844"/>
          <w:w w:val="105"/>
        </w:rPr>
        <w:t>Geoff Johannes</w:t>
      </w:r>
    </w:p>
    <w:p>
      <w:pPr>
        <w:pStyle w:val="BodyText"/>
        <w:spacing w:before="12"/>
        <w:ind w:left="736"/>
        <w:jc w:val="both"/>
      </w:pPr>
      <w:r>
        <w:rPr>
          <w:color w:val="464844"/>
          <w:w w:val="105"/>
        </w:rPr>
        <w:t>National Manager Trade, Policy and Implementation Branch</w:t>
      </w:r>
    </w:p>
    <w:p>
      <w:pPr>
        <w:pStyle w:val="BodyText"/>
        <w:rPr>
          <w:sz w:val="21"/>
        </w:rPr>
      </w:pPr>
    </w:p>
    <w:p>
      <w:pPr>
        <w:spacing w:before="0"/>
        <w:ind w:left="486" w:right="0" w:firstLine="0"/>
        <w:jc w:val="left"/>
        <w:rPr>
          <w:sz w:val="19"/>
        </w:rPr>
      </w:pPr>
      <w:r>
        <w:rPr>
          <w:rFonts w:ascii="Times New Roman"/>
          <w:i/>
          <w:color w:val="897E82"/>
          <w:w w:val="90"/>
          <w:sz w:val="44"/>
        </w:rPr>
        <w:t>/</w:t>
      </w:r>
      <w:r>
        <w:rPr>
          <w:rFonts w:ascii="Times New Roman"/>
          <w:i/>
          <w:color w:val="676766"/>
          <w:w w:val="90"/>
          <w:sz w:val="44"/>
        </w:rPr>
        <w:t>1.. </w:t>
      </w:r>
      <w:r>
        <w:rPr>
          <w:color w:val="464844"/>
          <w:sz w:val="19"/>
        </w:rPr>
        <w:t>December 2012</w:t>
      </w:r>
    </w:p>
    <w:sectPr>
      <w:type w:val="continuous"/>
      <w:pgSz w:w="12240" w:h="16860"/>
      <w:pgMar w:top="1060" w:bottom="0" w:left="9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88"/>
      <w:ind w:left="1618" w:hanging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daff.gov.au/" TargetMode="External"/><Relationship Id="rId7" Type="http://schemas.openxmlformats.org/officeDocument/2006/relationships/image" Target="media/image2.jpeg"/><Relationship Id="rId8" Type="http://schemas.openxmlformats.org/officeDocument/2006/relationships/hyperlink" Target="mailto:WheatPortsCDR@accc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2020-12-09T23:13:56Z</dcterms:created>
  <dcterms:modified xsi:type="dcterms:W3CDTF">2020-12-09T23:13:56Z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2012-12-12T00:00:00Z</vt:filetime>
  </property>
  <property fmtid="{D5CDD505-2E9C-101B-9397-08002B2CF9AE}" pid="3" name="LastSaved">
    <vt:filetime>2020-12-09T00:00:00Z</vt:filetime>
  </property>
</Properties>
</file>