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104"/>
        <w:rPr>
          <w:rFonts w:ascii="Times New Roman"/>
        </w:rPr>
      </w:pPr>
      <w:r>
        <w:rPr>
          <w:rFonts w:ascii="Times New Roman"/>
        </w:rPr>
        <w:drawing>
          <wp:inline distT="0" distB="0" distL="0" distR="0">
            <wp:extent cx="7196945" cy="1088136"/>
            <wp:effectExtent l="0" t="0" r="0" b="0"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96945" cy="1088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</w:rPr>
      </w:r>
    </w:p>
    <w:p>
      <w:pPr>
        <w:pStyle w:val="Title"/>
        <w:ind w:left="4978"/>
      </w:pPr>
      <w:r>
        <w:rPr/>
        <w:pict>
          <v:rect style="position:absolute;margin-left:83.664001pt;margin-top:37.611839pt;width:428.14pt;height:.72pt;mso-position-horizontal-relative:page;mso-position-vertical-relative:paragraph;z-index:-15728640;mso-wrap-distance-left:0;mso-wrap-distance-right:0" filled="true" fillcolor="#000000" stroked="false">
            <v:fill type="solid"/>
            <w10:wrap type="topAndBottom"/>
          </v:rect>
        </w:pict>
      </w:r>
      <w:r>
        <w:rPr/>
        <w:t>AUSTRALIAN CUSTOMS AND BORDER PROTECTION NOTICE NO. 2013/17</w:t>
      </w:r>
    </w:p>
    <w:p>
      <w:pPr>
        <w:pStyle w:val="BodyText"/>
        <w:spacing w:before="7"/>
        <w:rPr>
          <w:b/>
          <w:sz w:val="13"/>
        </w:rPr>
      </w:pPr>
    </w:p>
    <w:p>
      <w:pPr>
        <w:pStyle w:val="Title"/>
        <w:spacing w:line="237" w:lineRule="auto" w:before="94"/>
        <w:ind w:right="1972" w:firstLine="0"/>
        <w:jc w:val="both"/>
      </w:pPr>
      <w:r>
        <w:rPr/>
        <w:t>Commencement of the Customs Amendment (Miscellaneous Measures) Act 2013</w:t>
      </w:r>
    </w:p>
    <w:p>
      <w:pPr>
        <w:pStyle w:val="BodyText"/>
        <w:spacing w:before="9"/>
        <w:rPr>
          <w:b/>
          <w:sz w:val="24"/>
        </w:rPr>
      </w:pPr>
    </w:p>
    <w:p>
      <w:pPr>
        <w:pStyle w:val="BodyText"/>
        <w:ind w:left="1522" w:right="1727"/>
        <w:jc w:val="both"/>
      </w:pPr>
      <w:r>
        <w:rPr/>
        <w:t>The Customs Amendment (Miscellaneous Measures) Act 2013 (Amendment Act) received the Royal Assent on 30 March 2013.</w:t>
      </w:r>
    </w:p>
    <w:p>
      <w:pPr>
        <w:pStyle w:val="BodyText"/>
        <w:spacing w:before="11"/>
        <w:rPr>
          <w:sz w:val="19"/>
        </w:rPr>
      </w:pPr>
    </w:p>
    <w:p>
      <w:pPr>
        <w:pStyle w:val="BodyText"/>
        <w:ind w:left="1522" w:right="1690"/>
        <w:jc w:val="both"/>
      </w:pPr>
      <w:r>
        <w:rPr/>
        <w:t>All measures in Parts 2 to 9 of the Amendment Act commenced on the day after Royal</w:t>
      </w:r>
      <w:r>
        <w:rPr>
          <w:spacing w:val="-28"/>
        </w:rPr>
        <w:t> </w:t>
      </w:r>
      <w:r>
        <w:rPr/>
        <w:t>Assent. The new ‘restricted goods’ offence in Part 1 of the Amendment Act commences on a day to be fixed by</w:t>
      </w:r>
      <w:r>
        <w:rPr>
          <w:spacing w:val="-4"/>
        </w:rPr>
        <w:t> </w:t>
      </w:r>
      <w:r>
        <w:rPr/>
        <w:t>Proclamation.</w:t>
      </w:r>
    </w:p>
    <w:p>
      <w:pPr>
        <w:pStyle w:val="BodyText"/>
        <w:spacing w:before="8"/>
        <w:rPr>
          <w:sz w:val="19"/>
        </w:rPr>
      </w:pPr>
    </w:p>
    <w:p>
      <w:pPr>
        <w:spacing w:line="242" w:lineRule="auto" w:before="0"/>
        <w:ind w:left="1522" w:right="2005" w:firstLine="0"/>
        <w:jc w:val="both"/>
        <w:rPr>
          <w:sz w:val="20"/>
        </w:rPr>
      </w:pPr>
      <w:r>
        <w:rPr>
          <w:sz w:val="20"/>
        </w:rPr>
        <w:t>The Amendment Act amends the </w:t>
      </w:r>
      <w:r>
        <w:rPr>
          <w:i/>
          <w:sz w:val="20"/>
        </w:rPr>
        <w:t>Customs Act 1901 </w:t>
      </w:r>
      <w:r>
        <w:rPr>
          <w:sz w:val="20"/>
        </w:rPr>
        <w:t>(Customs Act), the </w:t>
      </w:r>
      <w:r>
        <w:rPr>
          <w:i/>
          <w:sz w:val="20"/>
        </w:rPr>
        <w:t>Import Processing Charges Act 2001 </w:t>
      </w:r>
      <w:r>
        <w:rPr>
          <w:sz w:val="20"/>
        </w:rPr>
        <w:t>and the </w:t>
      </w:r>
      <w:r>
        <w:rPr>
          <w:i/>
          <w:sz w:val="20"/>
        </w:rPr>
        <w:t>A New Tax System (Wine Equalisation Tax) Act 1999 </w:t>
      </w:r>
      <w:r>
        <w:rPr>
          <w:sz w:val="20"/>
        </w:rPr>
        <w:t>to make a number of technical amendments. The Amendment Act:</w:t>
      </w:r>
    </w:p>
    <w:p>
      <w:pPr>
        <w:pStyle w:val="BodyText"/>
        <w:spacing w:before="7"/>
        <w:rPr>
          <w:sz w:val="21"/>
        </w:rPr>
      </w:pPr>
    </w:p>
    <w:p>
      <w:pPr>
        <w:pStyle w:val="ListParagraph"/>
        <w:numPr>
          <w:ilvl w:val="0"/>
          <w:numId w:val="1"/>
        </w:numPr>
        <w:tabs>
          <w:tab w:pos="2235" w:val="left" w:leader="none"/>
        </w:tabs>
        <w:spacing w:line="230" w:lineRule="auto" w:before="0" w:after="0"/>
        <w:ind w:left="2234" w:right="2352" w:hanging="356"/>
        <w:jc w:val="both"/>
        <w:rPr>
          <w:sz w:val="20"/>
        </w:rPr>
      </w:pPr>
      <w:r>
        <w:rPr>
          <w:sz w:val="20"/>
        </w:rPr>
        <w:t>clarifies that self-powered ships and aircraft that are imported or intended to </w:t>
      </w:r>
      <w:r>
        <w:rPr>
          <w:spacing w:val="-25"/>
          <w:sz w:val="20"/>
        </w:rPr>
        <w:t>be </w:t>
      </w:r>
      <w:r>
        <w:rPr>
          <w:sz w:val="20"/>
        </w:rPr>
        <w:t>imported are subject to the control of Customs and should be entered for home consumption;</w:t>
      </w:r>
    </w:p>
    <w:p>
      <w:pPr>
        <w:pStyle w:val="ListParagraph"/>
        <w:numPr>
          <w:ilvl w:val="0"/>
          <w:numId w:val="1"/>
        </w:numPr>
        <w:tabs>
          <w:tab w:pos="2234" w:val="left" w:leader="none"/>
          <w:tab w:pos="2235" w:val="left" w:leader="none"/>
        </w:tabs>
        <w:spacing w:line="230" w:lineRule="auto" w:before="23" w:after="0"/>
        <w:ind w:left="2234" w:right="1645" w:hanging="356"/>
        <w:jc w:val="left"/>
        <w:rPr>
          <w:sz w:val="20"/>
        </w:rPr>
      </w:pPr>
      <w:r>
        <w:rPr>
          <w:sz w:val="20"/>
        </w:rPr>
        <w:t>amends a number of valuation definitions to ensure consistency with the Agreement</w:t>
      </w:r>
      <w:r>
        <w:rPr>
          <w:spacing w:val="-27"/>
          <w:sz w:val="20"/>
        </w:rPr>
        <w:t> </w:t>
      </w:r>
      <w:r>
        <w:rPr>
          <w:sz w:val="20"/>
        </w:rPr>
        <w:t>on Implementation of Article VII of the General Agreement on Tariffs and Trade 1994 (World Trade Organization Customs Valuation</w:t>
      </w:r>
      <w:r>
        <w:rPr>
          <w:spacing w:val="-5"/>
          <w:sz w:val="20"/>
        </w:rPr>
        <w:t> </w:t>
      </w:r>
      <w:r>
        <w:rPr>
          <w:sz w:val="20"/>
        </w:rPr>
        <w:t>Agreement);</w:t>
      </w:r>
    </w:p>
    <w:p>
      <w:pPr>
        <w:pStyle w:val="ListParagraph"/>
        <w:numPr>
          <w:ilvl w:val="0"/>
          <w:numId w:val="1"/>
        </w:numPr>
        <w:tabs>
          <w:tab w:pos="2234" w:val="left" w:leader="none"/>
          <w:tab w:pos="2235" w:val="left" w:leader="none"/>
        </w:tabs>
        <w:spacing w:line="220" w:lineRule="auto" w:before="31" w:after="0"/>
        <w:ind w:left="2234" w:right="1553" w:hanging="356"/>
        <w:jc w:val="left"/>
        <w:rPr>
          <w:sz w:val="20"/>
        </w:rPr>
      </w:pPr>
      <w:r>
        <w:rPr>
          <w:sz w:val="20"/>
        </w:rPr>
        <w:t>enables officers of Customs to designate a customs controlled area for both</w:t>
      </w:r>
      <w:r>
        <w:rPr>
          <w:spacing w:val="-25"/>
          <w:sz w:val="20"/>
        </w:rPr>
        <w:t> </w:t>
      </w:r>
      <w:r>
        <w:rPr>
          <w:sz w:val="20"/>
        </w:rPr>
        <w:t>passengers and crew, and the CEO to designate a seaport as a customs controlled</w:t>
      </w:r>
      <w:r>
        <w:rPr>
          <w:spacing w:val="-10"/>
          <w:sz w:val="20"/>
        </w:rPr>
        <w:t> </w:t>
      </w:r>
      <w:r>
        <w:rPr>
          <w:sz w:val="20"/>
        </w:rPr>
        <w:t>area;</w:t>
      </w:r>
    </w:p>
    <w:p>
      <w:pPr>
        <w:pStyle w:val="ListParagraph"/>
        <w:numPr>
          <w:ilvl w:val="0"/>
          <w:numId w:val="1"/>
        </w:numPr>
        <w:tabs>
          <w:tab w:pos="2234" w:val="left" w:leader="none"/>
          <w:tab w:pos="2235" w:val="left" w:leader="none"/>
        </w:tabs>
        <w:spacing w:line="220" w:lineRule="auto" w:before="32" w:after="0"/>
        <w:ind w:left="2234" w:right="2314" w:hanging="356"/>
        <w:jc w:val="left"/>
        <w:rPr>
          <w:sz w:val="20"/>
        </w:rPr>
      </w:pPr>
      <w:r>
        <w:rPr>
          <w:sz w:val="20"/>
        </w:rPr>
        <w:t>allows the CEO to request further information from an applicant, to address any concerns, prior to the grant of a warehouse</w:t>
      </w:r>
      <w:r>
        <w:rPr>
          <w:spacing w:val="-4"/>
          <w:sz w:val="20"/>
        </w:rPr>
        <w:t> </w:t>
      </w:r>
      <w:r>
        <w:rPr>
          <w:sz w:val="20"/>
        </w:rPr>
        <w:t>licence;</w:t>
      </w:r>
    </w:p>
    <w:p>
      <w:pPr>
        <w:pStyle w:val="ListParagraph"/>
        <w:numPr>
          <w:ilvl w:val="0"/>
          <w:numId w:val="1"/>
        </w:numPr>
        <w:tabs>
          <w:tab w:pos="2234" w:val="left" w:leader="none"/>
          <w:tab w:pos="2235" w:val="left" w:leader="none"/>
        </w:tabs>
        <w:spacing w:line="223" w:lineRule="auto" w:before="31" w:after="0"/>
        <w:ind w:left="2234" w:right="2003" w:hanging="356"/>
        <w:jc w:val="left"/>
        <w:rPr>
          <w:sz w:val="20"/>
        </w:rPr>
      </w:pPr>
      <w:r>
        <w:rPr>
          <w:sz w:val="20"/>
        </w:rPr>
        <w:t>aligns the treatment of the timeliness of the report of cargo reporters with the cargo report;</w:t>
      </w:r>
    </w:p>
    <w:p>
      <w:pPr>
        <w:pStyle w:val="ListParagraph"/>
        <w:numPr>
          <w:ilvl w:val="0"/>
          <w:numId w:val="1"/>
        </w:numPr>
        <w:tabs>
          <w:tab w:pos="2234" w:val="left" w:leader="none"/>
          <w:tab w:pos="2235" w:val="left" w:leader="none"/>
        </w:tabs>
        <w:spacing w:line="245" w:lineRule="exact" w:before="18" w:after="0"/>
        <w:ind w:left="2234" w:right="0" w:hanging="356"/>
        <w:jc w:val="left"/>
        <w:rPr>
          <w:sz w:val="20"/>
        </w:rPr>
      </w:pPr>
      <w:r>
        <w:rPr>
          <w:sz w:val="20"/>
        </w:rPr>
        <w:t>repeals the legislation which introduced the accredited client</w:t>
      </w:r>
      <w:r>
        <w:rPr>
          <w:spacing w:val="-3"/>
          <w:sz w:val="20"/>
        </w:rPr>
        <w:t> </w:t>
      </w:r>
      <w:r>
        <w:rPr>
          <w:sz w:val="20"/>
        </w:rPr>
        <w:t>program;</w:t>
      </w:r>
    </w:p>
    <w:p>
      <w:pPr>
        <w:pStyle w:val="ListParagraph"/>
        <w:numPr>
          <w:ilvl w:val="0"/>
          <w:numId w:val="1"/>
        </w:numPr>
        <w:tabs>
          <w:tab w:pos="2234" w:val="left" w:leader="none"/>
          <w:tab w:pos="2235" w:val="left" w:leader="none"/>
        </w:tabs>
        <w:spacing w:line="242" w:lineRule="exact" w:before="0" w:after="0"/>
        <w:ind w:left="2234" w:right="0" w:hanging="356"/>
        <w:jc w:val="left"/>
        <w:rPr>
          <w:sz w:val="20"/>
        </w:rPr>
      </w:pPr>
      <w:r>
        <w:rPr>
          <w:sz w:val="20"/>
        </w:rPr>
        <w:t>repeals expired moratorium period for cargo reporting;</w:t>
      </w:r>
      <w:r>
        <w:rPr>
          <w:spacing w:val="-3"/>
          <w:sz w:val="20"/>
        </w:rPr>
        <w:t> </w:t>
      </w:r>
      <w:r>
        <w:rPr>
          <w:sz w:val="20"/>
        </w:rPr>
        <w:t>and</w:t>
      </w:r>
    </w:p>
    <w:p>
      <w:pPr>
        <w:pStyle w:val="ListParagraph"/>
        <w:numPr>
          <w:ilvl w:val="0"/>
          <w:numId w:val="1"/>
        </w:numPr>
        <w:tabs>
          <w:tab w:pos="2234" w:val="left" w:leader="none"/>
          <w:tab w:pos="2235" w:val="left" w:leader="none"/>
        </w:tabs>
        <w:spacing w:line="245" w:lineRule="exact" w:before="0" w:after="0"/>
        <w:ind w:left="2234" w:right="0" w:hanging="356"/>
        <w:jc w:val="left"/>
        <w:rPr>
          <w:sz w:val="20"/>
        </w:rPr>
      </w:pPr>
      <w:r>
        <w:rPr>
          <w:sz w:val="20"/>
        </w:rPr>
        <w:t>repeals a redundant definition and corrects a minor numbering</w:t>
      </w:r>
      <w:r>
        <w:rPr>
          <w:spacing w:val="-6"/>
          <w:sz w:val="20"/>
        </w:rPr>
        <w:t> </w:t>
      </w:r>
      <w:r>
        <w:rPr>
          <w:sz w:val="20"/>
        </w:rPr>
        <w:t>error.</w:t>
      </w:r>
    </w:p>
    <w:p>
      <w:pPr>
        <w:pStyle w:val="BodyText"/>
        <w:rPr>
          <w:sz w:val="24"/>
        </w:rPr>
      </w:pPr>
    </w:p>
    <w:p>
      <w:pPr>
        <w:pStyle w:val="BodyText"/>
        <w:spacing w:before="168"/>
        <w:ind w:left="1522" w:right="2019"/>
      </w:pPr>
      <w:r>
        <w:rPr/>
        <w:t>A copy of the Act can be found on the Government legislation website. </w:t>
      </w:r>
      <w:hyperlink r:id="rId6">
        <w:r>
          <w:rPr>
            <w:color w:val="0000FF"/>
            <w:u w:val="single" w:color="0000FF"/>
          </w:rPr>
          <w:t>www.comlaw.gov.au</w:t>
        </w:r>
      </w:hyperlink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10"/>
        <w:rPr>
          <w:sz w:val="19"/>
        </w:rPr>
      </w:pPr>
    </w:p>
    <w:p>
      <w:pPr>
        <w:pStyle w:val="BodyText"/>
        <w:ind w:left="1522"/>
      </w:pPr>
      <w:r>
        <w:rPr/>
        <w:t>(signed)</w:t>
      </w:r>
    </w:p>
    <w:p>
      <w:pPr>
        <w:pStyle w:val="BodyText"/>
        <w:spacing w:before="1"/>
        <w:ind w:left="1522" w:right="8449"/>
      </w:pPr>
      <w:r>
        <w:rPr/>
        <w:t>Geoff Johannes National Manager</w:t>
      </w:r>
    </w:p>
    <w:p>
      <w:pPr>
        <w:pStyle w:val="BodyText"/>
        <w:ind w:left="1522" w:right="7048"/>
      </w:pPr>
      <w:r>
        <w:rPr/>
        <w:t>Trade, Policy and Implementation 4 April 2012</w:t>
      </w:r>
    </w:p>
    <w:sectPr>
      <w:type w:val="continuous"/>
      <w:pgSz w:w="11910" w:h="16840"/>
      <w:pgMar w:top="1120" w:bottom="280" w:left="180" w:right="1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Symbol">
    <w:altName w:val="Symbol"/>
    <w:charset w:val="0"/>
    <w:family w:val="auto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2234" w:hanging="356"/>
      </w:pPr>
      <w:rPr>
        <w:rFonts w:hint="default" w:ascii="Symbol" w:hAnsi="Symbol" w:eastAsia="Symbol" w:cs="Symbol"/>
        <w:w w:val="76"/>
        <w:sz w:val="20"/>
        <w:szCs w:val="20"/>
        <w:lang w:val="en-au" w:eastAsia="en-US" w:bidi="ar-SA"/>
      </w:rPr>
    </w:lvl>
    <w:lvl w:ilvl="1">
      <w:start w:val="0"/>
      <w:numFmt w:val="bullet"/>
      <w:lvlText w:val="•"/>
      <w:lvlJc w:val="left"/>
      <w:pPr>
        <w:ind w:left="3172" w:hanging="356"/>
      </w:pPr>
      <w:rPr>
        <w:rFonts w:hint="default"/>
        <w:lang w:val="en-au" w:eastAsia="en-US" w:bidi="ar-SA"/>
      </w:rPr>
    </w:lvl>
    <w:lvl w:ilvl="2">
      <w:start w:val="0"/>
      <w:numFmt w:val="bullet"/>
      <w:lvlText w:val="•"/>
      <w:lvlJc w:val="left"/>
      <w:pPr>
        <w:ind w:left="4105" w:hanging="356"/>
      </w:pPr>
      <w:rPr>
        <w:rFonts w:hint="default"/>
        <w:lang w:val="en-au" w:eastAsia="en-US" w:bidi="ar-SA"/>
      </w:rPr>
    </w:lvl>
    <w:lvl w:ilvl="3">
      <w:start w:val="0"/>
      <w:numFmt w:val="bullet"/>
      <w:lvlText w:val="•"/>
      <w:lvlJc w:val="left"/>
      <w:pPr>
        <w:ind w:left="5037" w:hanging="356"/>
      </w:pPr>
      <w:rPr>
        <w:rFonts w:hint="default"/>
        <w:lang w:val="en-au" w:eastAsia="en-US" w:bidi="ar-SA"/>
      </w:rPr>
    </w:lvl>
    <w:lvl w:ilvl="4">
      <w:start w:val="0"/>
      <w:numFmt w:val="bullet"/>
      <w:lvlText w:val="•"/>
      <w:lvlJc w:val="left"/>
      <w:pPr>
        <w:ind w:left="5970" w:hanging="356"/>
      </w:pPr>
      <w:rPr>
        <w:rFonts w:hint="default"/>
        <w:lang w:val="en-au" w:eastAsia="en-US" w:bidi="ar-SA"/>
      </w:rPr>
    </w:lvl>
    <w:lvl w:ilvl="5">
      <w:start w:val="0"/>
      <w:numFmt w:val="bullet"/>
      <w:lvlText w:val="•"/>
      <w:lvlJc w:val="left"/>
      <w:pPr>
        <w:ind w:left="6903" w:hanging="356"/>
      </w:pPr>
      <w:rPr>
        <w:rFonts w:hint="default"/>
        <w:lang w:val="en-au" w:eastAsia="en-US" w:bidi="ar-SA"/>
      </w:rPr>
    </w:lvl>
    <w:lvl w:ilvl="6">
      <w:start w:val="0"/>
      <w:numFmt w:val="bullet"/>
      <w:lvlText w:val="•"/>
      <w:lvlJc w:val="left"/>
      <w:pPr>
        <w:ind w:left="7835" w:hanging="356"/>
      </w:pPr>
      <w:rPr>
        <w:rFonts w:hint="default"/>
        <w:lang w:val="en-au" w:eastAsia="en-US" w:bidi="ar-SA"/>
      </w:rPr>
    </w:lvl>
    <w:lvl w:ilvl="7">
      <w:start w:val="0"/>
      <w:numFmt w:val="bullet"/>
      <w:lvlText w:val="•"/>
      <w:lvlJc w:val="left"/>
      <w:pPr>
        <w:ind w:left="8768" w:hanging="356"/>
      </w:pPr>
      <w:rPr>
        <w:rFonts w:hint="default"/>
        <w:lang w:val="en-au" w:eastAsia="en-US" w:bidi="ar-SA"/>
      </w:rPr>
    </w:lvl>
    <w:lvl w:ilvl="8">
      <w:start w:val="0"/>
      <w:numFmt w:val="bullet"/>
      <w:lvlText w:val="•"/>
      <w:lvlJc w:val="left"/>
      <w:pPr>
        <w:ind w:left="9701" w:hanging="356"/>
      </w:pPr>
      <w:rPr>
        <w:rFonts w:hint="default"/>
        <w:lang w:val="en-au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en-au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0"/>
      <w:szCs w:val="20"/>
      <w:lang w:val="en-au" w:eastAsia="en-US" w:bidi="ar-SA"/>
    </w:rPr>
  </w:style>
  <w:style w:styleId="Title" w:type="paragraph">
    <w:name w:val="Title"/>
    <w:basedOn w:val="Normal"/>
    <w:uiPriority w:val="1"/>
    <w:qFormat/>
    <w:pPr>
      <w:spacing w:before="84"/>
      <w:ind w:left="1522" w:right="1617" w:hanging="3368"/>
    </w:pPr>
    <w:rPr>
      <w:rFonts w:ascii="Arial" w:hAnsi="Arial" w:eastAsia="Arial" w:cs="Arial"/>
      <w:b/>
      <w:bCs/>
      <w:sz w:val="28"/>
      <w:szCs w:val="28"/>
      <w:lang w:val="en-au" w:eastAsia="en-US" w:bidi="ar-SA"/>
    </w:rPr>
  </w:style>
  <w:style w:styleId="ListParagraph" w:type="paragraph">
    <w:name w:val="List Paragraph"/>
    <w:basedOn w:val="Normal"/>
    <w:uiPriority w:val="1"/>
    <w:qFormat/>
    <w:pPr>
      <w:ind w:left="2234" w:hanging="356"/>
    </w:pPr>
    <w:rPr>
      <w:rFonts w:ascii="Arial" w:hAnsi="Arial" w:eastAsia="Arial" w:cs="Arial"/>
      <w:lang w:val="en-au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au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hyperlink" Target="http://www.comlaw.gov.au/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2020-12-09T22:33:32Z</dcterms:created>
  <dcterms:modified xsi:type="dcterms:W3CDTF">2020-12-09T22:33:32Z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2013-04-05T00:00:00Z</vt:filetime>
  </property>
  <property fmtid="{D5CDD505-2E9C-101B-9397-08002B2CF9AE}" pid="3" name="LastSaved">
    <vt:filetime>2020-12-09T00:00:00Z</vt:filetime>
  </property>
</Properties>
</file>