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6"/>
        <w:rPr>
          <w:rFonts w:ascii="Times New Roman"/>
          <w:sz w:val="26"/>
        </w:rPr>
      </w:pPr>
    </w:p>
    <w:p>
      <w:pPr>
        <w:pStyle w:val="Title"/>
        <w:spacing w:line="230" w:lineRule="auto" w:before="58"/>
        <w:ind w:left="232"/>
      </w:pPr>
      <w:r>
        <w:rPr/>
        <w:t>AUSTRALIAN CUSTOMS AND BORDER PROTECTION NOTICE 2013/22</w:t>
      </w:r>
    </w:p>
    <w:p>
      <w:pPr>
        <w:pStyle w:val="Title"/>
      </w:pPr>
      <w:r>
        <w:rPr/>
        <w:pict>
          <v:rect style="position:absolute;margin-left:83.639999pt;margin-top:1.17878pt;width:428.03999pt;height:.72pt;mso-position-horizontal-relative:page;mso-position-vertical-relative:paragraph;z-index:15729152" filled="true" fillcolor="#000000" stroked="false">
            <v:fill type="solid"/>
            <w10:wrap type="none"/>
          </v:rect>
        </w:pict>
      </w:r>
      <w:r>
        <w:rPr/>
        <w:t>Application for Customs Broker Licence</w:t>
      </w:r>
    </w:p>
    <w:p>
      <w:pPr>
        <w:pStyle w:val="BodyText"/>
        <w:spacing w:before="2"/>
        <w:rPr>
          <w:b/>
          <w:sz w:val="23"/>
        </w:rPr>
      </w:pPr>
    </w:p>
    <w:p>
      <w:pPr>
        <w:pStyle w:val="BodyText"/>
        <w:spacing w:line="235" w:lineRule="auto"/>
        <w:ind w:left="141" w:right="172"/>
      </w:pPr>
      <w:r>
        <w:rPr/>
        <w:t>The following company and individuals have applied to the Chief Executive Officer of Customs for a customs broker licence.</w:t>
      </w:r>
    </w:p>
    <w:p>
      <w:pPr>
        <w:pStyle w:val="BodyText"/>
        <w:spacing w:before="11"/>
        <w:rPr>
          <w:sz w:val="18"/>
        </w:rPr>
      </w:pPr>
    </w:p>
    <w:p>
      <w:pPr>
        <w:pStyle w:val="Heading1"/>
        <w:tabs>
          <w:tab w:pos="4394" w:val="left" w:leader="none"/>
        </w:tabs>
        <w:rPr>
          <w:u w:val="none"/>
        </w:rPr>
      </w:pPr>
      <w:r>
        <w:rPr>
          <w:u w:val="thick"/>
        </w:rPr>
        <w:t>COMPANY</w:t>
      </w:r>
      <w:r>
        <w:rPr>
          <w:u w:val="none"/>
        </w:rPr>
        <w:tab/>
      </w:r>
      <w:r>
        <w:rPr>
          <w:u w:val="thick"/>
        </w:rPr>
        <w:t>INDIVIDUALS</w:t>
      </w:r>
    </w:p>
    <w:p>
      <w:pPr>
        <w:pStyle w:val="BodyText"/>
        <w:tabs>
          <w:tab w:pos="4394" w:val="left" w:leader="none"/>
        </w:tabs>
        <w:spacing w:line="231" w:lineRule="exact"/>
        <w:ind w:left="141"/>
      </w:pPr>
      <w:r>
        <w:rPr/>
        <w:t>ATSL</w:t>
      </w:r>
      <w:r>
        <w:rPr>
          <w:spacing w:val="-2"/>
        </w:rPr>
        <w:t> </w:t>
      </w:r>
      <w:r>
        <w:rPr/>
        <w:t>Pty</w:t>
      </w:r>
      <w:r>
        <w:rPr>
          <w:spacing w:val="-3"/>
        </w:rPr>
        <w:t> </w:t>
      </w:r>
      <w:r>
        <w:rPr/>
        <w:t>Ltd</w:t>
        <w:tab/>
        <w:t>HARAPA, Daniel</w:t>
      </w:r>
      <w:r>
        <w:rPr>
          <w:spacing w:val="-3"/>
        </w:rPr>
        <w:t> </w:t>
      </w:r>
      <w:r>
        <w:rPr/>
        <w:t>Theodore</w:t>
      </w:r>
    </w:p>
    <w:p>
      <w:pPr>
        <w:pStyle w:val="BodyText"/>
        <w:tabs>
          <w:tab w:pos="4394" w:val="left" w:leader="none"/>
        </w:tabs>
        <w:spacing w:line="229" w:lineRule="exact"/>
        <w:ind w:left="141"/>
      </w:pPr>
      <w:r>
        <w:rPr/>
        <w:t>ABN 67 120</w:t>
      </w:r>
      <w:r>
        <w:rPr>
          <w:spacing w:val="-2"/>
        </w:rPr>
        <w:t> </w:t>
      </w:r>
      <w:r>
        <w:rPr/>
        <w:t>202</w:t>
      </w:r>
      <w:r>
        <w:rPr>
          <w:spacing w:val="-3"/>
        </w:rPr>
        <w:t> </w:t>
      </w:r>
      <w:r>
        <w:rPr/>
        <w:t>397</w:t>
        <w:tab/>
        <w:t>GRAY, David Edward</w:t>
      </w:r>
      <w:r>
        <w:rPr>
          <w:spacing w:val="-2"/>
        </w:rPr>
        <w:t> </w:t>
      </w:r>
      <w:r>
        <w:rPr/>
        <w:t>Johnston</w:t>
      </w:r>
    </w:p>
    <w:p>
      <w:pPr>
        <w:pStyle w:val="BodyText"/>
        <w:tabs>
          <w:tab w:pos="4394" w:val="left" w:leader="none"/>
        </w:tabs>
        <w:spacing w:line="235" w:lineRule="auto"/>
        <w:ind w:left="141" w:right="1685"/>
      </w:pPr>
      <w:r>
        <w:rPr/>
        <w:t>Unit 7A,</w:t>
      </w:r>
      <w:r>
        <w:rPr>
          <w:spacing w:val="-3"/>
        </w:rPr>
        <w:t> </w:t>
      </w:r>
      <w:r>
        <w:rPr/>
        <w:t>MIAC Building</w:t>
        <w:tab/>
        <w:t>NEWPORT, Richard Garfield International</w:t>
      </w:r>
      <w:r>
        <w:rPr>
          <w:spacing w:val="-3"/>
        </w:rPr>
        <w:t> </w:t>
      </w:r>
      <w:r>
        <w:rPr/>
        <w:t>Drive</w:t>
      </w:r>
    </w:p>
    <w:p>
      <w:pPr>
        <w:pStyle w:val="BodyText"/>
        <w:spacing w:line="231" w:lineRule="exact"/>
        <w:ind w:left="141"/>
      </w:pPr>
      <w:r>
        <w:rPr/>
        <w:t>TULLAMARINE VIC 3043</w:t>
      </w:r>
    </w:p>
    <w:p>
      <w:pPr>
        <w:pStyle w:val="BodyText"/>
        <w:spacing w:before="2"/>
        <w:rPr>
          <w:sz w:val="19"/>
        </w:rPr>
      </w:pPr>
    </w:p>
    <w:p>
      <w:pPr>
        <w:spacing w:line="235" w:lineRule="auto" w:before="0"/>
        <w:ind w:left="141" w:right="6242" w:firstLine="0"/>
        <w:jc w:val="left"/>
        <w:rPr>
          <w:sz w:val="20"/>
        </w:rPr>
      </w:pPr>
      <w:r>
        <w:rPr>
          <w:b/>
          <w:sz w:val="20"/>
        </w:rPr>
        <w:t>Persons in Authority </w:t>
      </w:r>
      <w:r>
        <w:rPr>
          <w:sz w:val="20"/>
        </w:rPr>
        <w:t>LEITCH, Charles Rodney ZHANG, Lei</w:t>
      </w:r>
    </w:p>
    <w:p>
      <w:pPr>
        <w:pStyle w:val="BodyText"/>
        <w:spacing w:before="10"/>
        <w:rPr>
          <w:sz w:val="18"/>
        </w:rPr>
      </w:pPr>
    </w:p>
    <w:p>
      <w:pPr>
        <w:pStyle w:val="Heading1"/>
        <w:rPr>
          <w:u w:val="none"/>
        </w:rPr>
      </w:pPr>
      <w:r>
        <w:rPr>
          <w:u w:val="none"/>
        </w:rPr>
        <w:t>Nominees</w:t>
      </w:r>
    </w:p>
    <w:p>
      <w:pPr>
        <w:pStyle w:val="BodyText"/>
        <w:spacing w:line="233" w:lineRule="exact"/>
        <w:ind w:left="141"/>
      </w:pPr>
      <w:r>
        <w:rPr/>
        <w:t>HEDGER, Clayton John</w:t>
      </w:r>
    </w:p>
    <w:p>
      <w:pPr>
        <w:pStyle w:val="BodyText"/>
      </w:pPr>
    </w:p>
    <w:p>
      <w:pPr>
        <w:pStyle w:val="BodyText"/>
        <w:spacing w:before="11"/>
        <w:rPr>
          <w:sz w:val="18"/>
        </w:rPr>
      </w:pPr>
    </w:p>
    <w:p>
      <w:pPr>
        <w:pStyle w:val="BodyText"/>
        <w:spacing w:line="235" w:lineRule="auto"/>
        <w:ind w:left="141" w:right="172"/>
      </w:pPr>
      <w:r>
        <w:rPr/>
        <w:t>Any persons wishing to make written representation in respect of these applications should address the correspondence by 27 May 2013 to:</w:t>
      </w:r>
    </w:p>
    <w:p>
      <w:pPr>
        <w:pStyle w:val="BodyText"/>
        <w:spacing w:before="10"/>
        <w:rPr>
          <w:sz w:val="13"/>
        </w:rPr>
      </w:pPr>
    </w:p>
    <w:p>
      <w:pPr>
        <w:spacing w:after="0"/>
        <w:rPr>
          <w:sz w:val="13"/>
        </w:rPr>
        <w:sectPr>
          <w:type w:val="continuous"/>
          <w:pgSz w:w="11900" w:h="16840"/>
          <w:pgMar w:top="1140" w:bottom="280" w:left="1560" w:right="1680"/>
        </w:sectPr>
      </w:pPr>
    </w:p>
    <w:p>
      <w:pPr>
        <w:pStyle w:val="BodyText"/>
        <w:spacing w:line="233" w:lineRule="exact" w:before="64"/>
        <w:ind w:left="141"/>
      </w:pPr>
      <w:r>
        <w:rPr/>
        <w:t>Broker Licensing</w:t>
      </w:r>
    </w:p>
    <w:p>
      <w:pPr>
        <w:pStyle w:val="BodyText"/>
        <w:spacing w:line="232" w:lineRule="auto" w:before="3"/>
        <w:ind w:left="141" w:right="20"/>
      </w:pPr>
      <w:r>
        <w:rPr/>
        <w:t>Australian Customs and Border Protection Service 5 Constitution Avenue</w:t>
      </w:r>
    </w:p>
    <w:p>
      <w:pPr>
        <w:pStyle w:val="BodyText"/>
        <w:spacing w:line="232" w:lineRule="exact"/>
        <w:ind w:left="141"/>
      </w:pPr>
      <w:r>
        <w:rPr/>
        <w:t>CANBERRA ACT 2601</w:t>
      </w:r>
    </w:p>
    <w:p>
      <w:pPr>
        <w:pStyle w:val="BodyText"/>
        <w:spacing w:before="6"/>
        <w:rPr>
          <w:sz w:val="15"/>
        </w:rPr>
      </w:pPr>
      <w:r>
        <w:rPr/>
        <w:br w:type="column"/>
      </w:r>
      <w:r>
        <w:rPr>
          <w:sz w:val="15"/>
        </w:rPr>
      </w:r>
    </w:p>
    <w:p>
      <w:pPr>
        <w:pStyle w:val="BodyText"/>
        <w:spacing w:line="235" w:lineRule="auto"/>
        <w:ind w:left="141"/>
      </w:pPr>
      <w:r>
        <w:rPr/>
        <w:t>Or email: </w:t>
      </w:r>
      <w:hyperlink r:id="rId5">
        <w:r>
          <w:rPr>
            <w:color w:val="0000FF"/>
            <w:w w:val="95"/>
            <w:u w:val="single" w:color="0000FF"/>
          </w:rPr>
          <w:t>brokers.licensing@customs.gov.au</w:t>
        </w:r>
      </w:hyperlink>
    </w:p>
    <w:p>
      <w:pPr>
        <w:spacing w:after="0" w:line="235" w:lineRule="auto"/>
        <w:sectPr>
          <w:type w:val="continuous"/>
          <w:pgSz w:w="11900" w:h="16840"/>
          <w:pgMar w:top="1140" w:bottom="280" w:left="1560" w:right="1680"/>
          <w:cols w:num="2" w:equalWidth="0">
            <w:col w:w="4639" w:space="509"/>
            <w:col w:w="3512"/>
          </w:cols>
        </w:sectPr>
      </w:pPr>
    </w:p>
    <w:p>
      <w:pPr>
        <w:pStyle w:val="BodyText"/>
        <w:spacing w:before="9"/>
        <w:rPr>
          <w:sz w:val="13"/>
        </w:rPr>
      </w:pPr>
      <w:r>
        <w:rPr/>
        <w:pict>
          <v:group style="position:absolute;margin-left:14.16pt;margin-top:56.639599pt;width:567.4pt;height:86.05pt;mso-position-horizontal-relative:page;mso-position-vertical-relative:page;z-index:-15771648" coordorigin="283,1133" coordsize="11348,1721">
            <v:shape style="position:absolute;left:283;top:1132;width:11348;height:1721" type="#_x0000_t75" stroked="false">
              <v:imagedata r:id="rId6" o:title=""/>
            </v:shape>
            <v:shapetype id="_x0000_t202" o:spt="202" coordsize="21600,21600" path="m,l,21600r21600,l21600,xe">
              <v:stroke joinstyle="miter"/>
              <v:path gradientshapeok="t" o:connecttype="rect"/>
            </v:shapetype>
            <v:shape style="position:absolute;left:1701;top:1163;width:189;height:200" type="#_x0000_t202" filled="false" stroked="false">
              <v:textbox inset="0,0,0,0">
                <w:txbxContent>
                  <w:p>
                    <w:pPr>
                      <w:spacing w:line="199" w:lineRule="exact" w:before="0"/>
                      <w:ind w:left="0" w:right="0" w:firstLine="0"/>
                      <w:jc w:val="left"/>
                      <w:rPr>
                        <w:sz w:val="20"/>
                      </w:rPr>
                    </w:pPr>
                    <w:r>
                      <w:rPr>
                        <w:sz w:val="20"/>
                      </w:rPr>
                      <w:t>fa</w:t>
                    </w:r>
                  </w:p>
                </w:txbxContent>
              </v:textbox>
              <w10:wrap type="none"/>
            </v:shape>
            <w10:wrap type="none"/>
          </v:group>
        </w:pict>
      </w:r>
    </w:p>
    <w:p>
      <w:pPr>
        <w:pStyle w:val="BodyText"/>
        <w:spacing w:line="235" w:lineRule="auto" w:before="68"/>
        <w:ind w:left="141"/>
      </w:pPr>
      <w:r>
        <w:rPr/>
        <w:t>Principles of procedural fairness in respect of information that is potentially adverse to the applicant will be applied, and if information is received that is considered credible, relevant and significant, the applicant will be made aware of the substance of the representation and will be given the opportunity to respond to the representation.</w:t>
      </w:r>
    </w:p>
    <w:p>
      <w:pPr>
        <w:pStyle w:val="BodyText"/>
        <w:spacing w:before="4"/>
        <w:rPr>
          <w:sz w:val="19"/>
        </w:rPr>
      </w:pPr>
    </w:p>
    <w:p>
      <w:pPr>
        <w:pStyle w:val="BodyText"/>
        <w:spacing w:line="235" w:lineRule="auto" w:before="1"/>
        <w:ind w:left="141" w:right="261"/>
      </w:pPr>
      <w:r>
        <w:rPr/>
        <w:t>Applicants will not be provided with a copy of the representation or details of its author unless the Australian Customs and Border Protection Service is authorised by the author to fully disclose that information.</w:t>
      </w:r>
    </w:p>
    <w:p>
      <w:pPr>
        <w:pStyle w:val="BodyText"/>
      </w:pPr>
    </w:p>
    <w:p>
      <w:pPr>
        <w:pStyle w:val="BodyText"/>
      </w:pPr>
    </w:p>
    <w:p>
      <w:pPr>
        <w:pStyle w:val="BodyText"/>
      </w:pPr>
    </w:p>
    <w:p>
      <w:pPr>
        <w:pStyle w:val="BodyText"/>
      </w:pPr>
    </w:p>
    <w:p>
      <w:pPr>
        <w:pStyle w:val="BodyText"/>
        <w:spacing w:before="5"/>
        <w:rPr>
          <w:sz w:val="17"/>
        </w:rPr>
      </w:pPr>
    </w:p>
    <w:p>
      <w:pPr>
        <w:pStyle w:val="BodyText"/>
        <w:spacing w:before="1"/>
        <w:ind w:left="141"/>
      </w:pPr>
      <w:r>
        <w:rPr/>
        <w:t>[Signed]</w:t>
      </w:r>
    </w:p>
    <w:p>
      <w:pPr>
        <w:pStyle w:val="BodyText"/>
      </w:pPr>
    </w:p>
    <w:p>
      <w:pPr>
        <w:pStyle w:val="BodyText"/>
        <w:spacing w:before="10"/>
        <w:rPr>
          <w:sz w:val="18"/>
        </w:rPr>
      </w:pPr>
    </w:p>
    <w:p>
      <w:pPr>
        <w:pStyle w:val="BodyText"/>
        <w:spacing w:line="235" w:lineRule="auto"/>
        <w:ind w:left="141" w:right="7402"/>
      </w:pPr>
      <w:r>
        <w:rPr/>
        <w:t>John</w:t>
      </w:r>
      <w:r>
        <w:rPr>
          <w:spacing w:val="-15"/>
        </w:rPr>
        <w:t> </w:t>
      </w:r>
      <w:r>
        <w:rPr/>
        <w:t>Arndell Director</w:t>
      </w:r>
    </w:p>
    <w:p>
      <w:pPr>
        <w:pStyle w:val="BodyText"/>
        <w:spacing w:line="235" w:lineRule="auto" w:before="1"/>
        <w:ind w:left="141" w:right="2596"/>
      </w:pPr>
      <w:r>
        <w:rPr/>
        <w:t>Cargo Reporting Policy and Firearms and Weapons Administration CANBERRA ACT</w:t>
      </w:r>
    </w:p>
    <w:p>
      <w:pPr>
        <w:pStyle w:val="BodyText"/>
        <w:spacing w:before="113"/>
        <w:ind w:left="141"/>
      </w:pPr>
      <w:r>
        <w:rPr/>
        <w:t>7 May 2013</w:t>
      </w:r>
    </w:p>
    <w:sectPr>
      <w:type w:val="continuous"/>
      <w:pgSz w:w="11900" w:h="16840"/>
      <w:pgMar w:top="1140" w:bottom="280" w:left="156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Helvetica">
    <w:altName w:val="Helvetica"/>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Helvetica" w:hAnsi="Helvetica" w:eastAsia="Helvetica" w:cs="Helvetica"/>
    </w:rPr>
  </w:style>
  <w:style w:styleId="BodyText" w:type="paragraph">
    <w:name w:val="Body Text"/>
    <w:basedOn w:val="Normal"/>
    <w:uiPriority w:val="1"/>
    <w:qFormat/>
    <w:pPr/>
    <w:rPr>
      <w:rFonts w:ascii="Helvetica" w:hAnsi="Helvetica" w:eastAsia="Helvetica" w:cs="Helvetica"/>
      <w:sz w:val="20"/>
      <w:szCs w:val="20"/>
    </w:rPr>
  </w:style>
  <w:style w:styleId="Heading1" w:type="paragraph">
    <w:name w:val="Heading 1"/>
    <w:basedOn w:val="Normal"/>
    <w:uiPriority w:val="1"/>
    <w:qFormat/>
    <w:pPr>
      <w:spacing w:line="237" w:lineRule="exact"/>
      <w:ind w:left="141"/>
      <w:outlineLvl w:val="1"/>
    </w:pPr>
    <w:rPr>
      <w:rFonts w:ascii="Helvetica" w:hAnsi="Helvetica" w:eastAsia="Helvetica" w:cs="Helvetica"/>
      <w:b/>
      <w:bCs/>
      <w:sz w:val="20"/>
      <w:szCs w:val="20"/>
      <w:u w:val="single" w:color="000000"/>
    </w:rPr>
  </w:style>
  <w:style w:styleId="Title" w:type="paragraph">
    <w:name w:val="Title"/>
    <w:basedOn w:val="Normal"/>
    <w:uiPriority w:val="1"/>
    <w:qFormat/>
    <w:pPr>
      <w:spacing w:before="26"/>
      <w:ind w:left="226" w:right="102"/>
      <w:jc w:val="center"/>
    </w:pPr>
    <w:rPr>
      <w:rFonts w:ascii="Helvetica" w:hAnsi="Helvetica" w:eastAsia="Helvetica" w:cs="Helvetica"/>
      <w:b/>
      <w:bCs/>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brokers.licensing@customs.gov.au" TargetMode="Externa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c8jmd</dc:creator>
  <dc:title>Microsoft Word - Customs and Border Protection Notice 2013-22</dc:title>
  <dcterms:created xsi:type="dcterms:W3CDTF">2020-12-09T23:20:37Z</dcterms:created>
  <dcterms:modified xsi:type="dcterms:W3CDTF">2020-12-09T23:20:37Z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2013-05-13T00:00:00Z</vt:filetime>
  </property>
  <property fmtid="{D5CDD505-2E9C-101B-9397-08002B2CF9AE}" pid="3" name="Creator">
    <vt:lpwstr>PScript5.dll Version 5.2.2</vt:lpwstr>
  </property>
  <property fmtid="{D5CDD505-2E9C-101B-9397-08002B2CF9AE}" pid="4" name="LastSaved">
    <vt:filetime>2020-12-09T00:00:00Z</vt:filetime>
  </property>
</Properties>
</file>