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89"/>
        <w:ind w:left="1614" w:right="0" w:firstLine="0"/>
        <w:jc w:val="left"/>
        <w:rPr>
          <w:rFonts w:ascii="Times New Roman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686950</wp:posOffset>
            </wp:positionH>
            <wp:positionV relativeFrom="paragraph">
              <wp:posOffset>-103855</wp:posOffset>
            </wp:positionV>
            <wp:extent cx="893035" cy="6408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035" cy="64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1A3D54"/>
          <w:w w:val="95"/>
          <w:sz w:val="27"/>
          <w:u w:val="thick" w:color="1A3D54"/>
        </w:rPr>
        <w:t>Australian</w:t>
      </w:r>
      <w:r>
        <w:rPr>
          <w:rFonts w:ascii="Times New Roman"/>
          <w:b/>
          <w:color w:val="1A3D54"/>
          <w:spacing w:val="-7"/>
          <w:w w:val="95"/>
          <w:sz w:val="27"/>
          <w:u w:val="thick" w:color="1A3D54"/>
        </w:rPr>
        <w:t> </w:t>
      </w:r>
      <w:r>
        <w:rPr>
          <w:rFonts w:ascii="Times New Roman"/>
          <w:b/>
          <w:color w:val="1A3D54"/>
          <w:w w:val="95"/>
          <w:sz w:val="27"/>
          <w:u w:val="thick" w:color="1A3D54"/>
        </w:rPr>
        <w:t>Government</w:t>
      </w:r>
    </w:p>
    <w:p>
      <w:pPr>
        <w:spacing w:line="273" w:lineRule="auto" w:before="145"/>
        <w:ind w:left="1611" w:right="4398" w:firstLine="3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1A3D54"/>
          <w:w w:val="105"/>
          <w:sz w:val="23"/>
        </w:rPr>
        <w:t>Australian Customs and Border</w:t>
      </w:r>
      <w:r>
        <w:rPr>
          <w:rFonts w:ascii="Times New Roman"/>
          <w:b/>
          <w:color w:val="1A3D54"/>
          <w:spacing w:val="-53"/>
          <w:w w:val="105"/>
          <w:sz w:val="23"/>
        </w:rPr>
        <w:t> </w:t>
      </w:r>
      <w:r>
        <w:rPr>
          <w:rFonts w:ascii="Times New Roman"/>
          <w:b/>
          <w:color w:val="1A3D54"/>
          <w:w w:val="105"/>
          <w:sz w:val="23"/>
        </w:rPr>
        <w:t>Protection 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6"/>
        </w:rPr>
      </w:pPr>
    </w:p>
    <w:p>
      <w:pPr>
        <w:pStyle w:val="Heading1"/>
        <w:spacing w:line="249" w:lineRule="auto" w:before="92"/>
        <w:ind w:left="4156" w:hanging="3363"/>
      </w:pPr>
      <w:r>
        <w:rPr/>
        <w:pict>
          <v:line style="position:absolute;mso-position-horizontal-relative:page;mso-position-vertical-relative:paragraph;z-index:15731200" from="81.857124pt,38.16872pt" to="511.336579pt,38.16872pt" stroked="true" strokeweight=".720889pt" strokecolor="#000000">
            <v:stroke dashstyle="solid"/>
            <w10:wrap type="none"/>
          </v:line>
        </w:pict>
      </w:r>
      <w:r>
        <w:rPr>
          <w:color w:val="1C1C1C"/>
        </w:rPr>
        <w:t>AUSTRALIAN CUSTOMS AND BORDER PROTECTION NOTICE NO. 2013/35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694" w:right="0" w:firstLine="0"/>
        <w:jc w:val="left"/>
        <w:rPr>
          <w:sz w:val="27"/>
        </w:rPr>
      </w:pPr>
      <w:r>
        <w:rPr>
          <w:b/>
          <w:color w:val="1C1C1C"/>
          <w:w w:val="105"/>
          <w:sz w:val="27"/>
        </w:rPr>
        <w:t>Luxury Car Tax Threshold and Fuel Efficient Vehicle Limit </w:t>
      </w:r>
      <w:r>
        <w:rPr>
          <w:color w:val="1C1C1C"/>
          <w:w w:val="105"/>
          <w:sz w:val="27"/>
        </w:rPr>
        <w:t>-</w:t>
      </w:r>
    </w:p>
    <w:p>
      <w:pPr>
        <w:pStyle w:val="Heading1"/>
        <w:spacing w:before="14"/>
      </w:pPr>
      <w:r>
        <w:rPr>
          <w:color w:val="1C1C1C"/>
          <w:w w:val="105"/>
        </w:rPr>
        <w:t>Changes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54" w:lineRule="auto" w:before="1"/>
        <w:ind w:left="695" w:right="665" w:firstLine="1"/>
      </w:pPr>
      <w:r>
        <w:rPr>
          <w:color w:val="2F2F2F"/>
          <w:w w:val="105"/>
        </w:rPr>
        <w:t>This notice </w:t>
      </w:r>
      <w:r>
        <w:rPr>
          <w:color w:val="1C1C1C"/>
          <w:w w:val="105"/>
        </w:rPr>
        <w:t>is to </w:t>
      </w:r>
      <w:r>
        <w:rPr>
          <w:color w:val="2F2F2F"/>
          <w:w w:val="105"/>
        </w:rPr>
        <w:t>advise of the </w:t>
      </w:r>
      <w:r>
        <w:rPr>
          <w:color w:val="1C1C1C"/>
          <w:w w:val="105"/>
        </w:rPr>
        <w:t>recent increase </w:t>
      </w:r>
      <w:r>
        <w:rPr>
          <w:color w:val="2F2F2F"/>
          <w:w w:val="105"/>
        </w:rPr>
        <w:t>in the 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uxury </w:t>
      </w:r>
      <w:r>
        <w:rPr>
          <w:color w:val="2F2F2F"/>
          <w:w w:val="105"/>
        </w:rPr>
        <w:t>car tax (</w:t>
      </w:r>
      <w:r>
        <w:rPr>
          <w:color w:val="0C0C0C"/>
          <w:w w:val="105"/>
        </w:rPr>
        <w:t>LCT</w:t>
      </w:r>
      <w:r>
        <w:rPr>
          <w:color w:val="2F2F2F"/>
          <w:w w:val="105"/>
        </w:rPr>
        <w:t>) threshold for the 2013-14 financial year.</w:t>
      </w:r>
    </w:p>
    <w:p>
      <w:pPr>
        <w:pStyle w:val="BodyText"/>
        <w:spacing w:before="10"/>
      </w:pPr>
    </w:p>
    <w:p>
      <w:pPr>
        <w:pStyle w:val="BodyText"/>
        <w:ind w:left="696"/>
      </w:pPr>
      <w:r>
        <w:rPr>
          <w:color w:val="1C1C1C"/>
          <w:w w:val="105"/>
        </w:rPr>
        <w:t>The </w:t>
      </w:r>
      <w:r>
        <w:rPr>
          <w:color w:val="2F2F2F"/>
          <w:w w:val="105"/>
        </w:rPr>
        <w:t>Australian Taxation Office has determined that from 1 July 2013 the following are </w:t>
      </w:r>
      <w:r>
        <w:rPr>
          <w:color w:val="3F3F3F"/>
          <w:w w:val="105"/>
        </w:rPr>
        <w:t>effective: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980" w:bottom="0" w:left="980" w:right="1680"/>
        </w:sectPr>
      </w:pPr>
    </w:p>
    <w:p>
      <w:pPr>
        <w:pStyle w:val="ListParagraph"/>
        <w:numPr>
          <w:ilvl w:val="0"/>
          <w:numId w:val="1"/>
        </w:numPr>
        <w:tabs>
          <w:tab w:pos="1552" w:val="left" w:leader="none"/>
        </w:tabs>
        <w:spacing w:line="240" w:lineRule="auto" w:before="94" w:after="0"/>
        <w:ind w:left="1551" w:right="0" w:hanging="127"/>
        <w:jc w:val="left"/>
        <w:rPr>
          <w:color w:val="2F2F2F"/>
          <w:sz w:val="19"/>
        </w:rPr>
      </w:pPr>
      <w:r>
        <w:rPr>
          <w:color w:val="1C1C1C"/>
          <w:w w:val="110"/>
          <w:sz w:val="19"/>
        </w:rPr>
        <w:t>LCT</w:t>
      </w:r>
      <w:r>
        <w:rPr>
          <w:color w:val="1C1C1C"/>
          <w:spacing w:val="-26"/>
          <w:w w:val="110"/>
          <w:sz w:val="19"/>
        </w:rPr>
        <w:t> </w:t>
      </w:r>
      <w:r>
        <w:rPr>
          <w:color w:val="1C1C1C"/>
          <w:spacing w:val="-6"/>
          <w:w w:val="110"/>
          <w:sz w:val="19"/>
        </w:rPr>
        <w:t>Thre</w:t>
      </w:r>
      <w:r>
        <w:rPr>
          <w:color w:val="3F3F3F"/>
          <w:spacing w:val="-6"/>
          <w:w w:val="110"/>
          <w:sz w:val="19"/>
        </w:rPr>
        <w:t>sho</w:t>
      </w:r>
      <w:r>
        <w:rPr>
          <w:color w:val="1C1C1C"/>
          <w:spacing w:val="-6"/>
          <w:w w:val="110"/>
          <w:sz w:val="19"/>
        </w:rPr>
        <w:t>ld</w:t>
      </w:r>
    </w:p>
    <w:p>
      <w:pPr>
        <w:pStyle w:val="ListParagraph"/>
        <w:numPr>
          <w:ilvl w:val="0"/>
          <w:numId w:val="1"/>
        </w:numPr>
        <w:tabs>
          <w:tab w:pos="1551" w:val="left" w:leader="none"/>
        </w:tabs>
        <w:spacing w:line="240" w:lineRule="auto" w:before="5" w:after="0"/>
        <w:ind w:left="1550" w:right="0" w:hanging="126"/>
        <w:jc w:val="left"/>
        <w:rPr>
          <w:color w:val="1C1C1C"/>
          <w:sz w:val="19"/>
        </w:rPr>
      </w:pPr>
      <w:r>
        <w:rPr>
          <w:color w:val="1C1C1C"/>
          <w:w w:val="105"/>
          <w:sz w:val="19"/>
        </w:rPr>
        <w:t>Fuel </w:t>
      </w:r>
      <w:r>
        <w:rPr>
          <w:color w:val="2F2F2F"/>
          <w:w w:val="105"/>
          <w:sz w:val="19"/>
        </w:rPr>
        <w:t>efficient vehicle</w:t>
      </w:r>
      <w:r>
        <w:rPr>
          <w:color w:val="2F2F2F"/>
          <w:spacing w:val="2"/>
          <w:w w:val="105"/>
          <w:sz w:val="19"/>
        </w:rPr>
        <w:t> </w:t>
      </w:r>
      <w:r>
        <w:rPr>
          <w:color w:val="0C0C0C"/>
          <w:w w:val="105"/>
          <w:sz w:val="19"/>
        </w:rPr>
        <w:t>l</w:t>
      </w:r>
      <w:r>
        <w:rPr>
          <w:color w:val="2F2F2F"/>
          <w:w w:val="105"/>
          <w:sz w:val="19"/>
        </w:rPr>
        <w:t>imit</w:t>
      </w:r>
    </w:p>
    <w:p>
      <w:pPr>
        <w:pStyle w:val="BodyText"/>
        <w:spacing w:before="94"/>
        <w:ind w:left="1192"/>
      </w:pPr>
      <w:r>
        <w:rPr/>
        <w:br w:type="column"/>
      </w:r>
      <w:r>
        <w:rPr>
          <w:color w:val="2F2F2F"/>
          <w:w w:val="105"/>
        </w:rPr>
        <w:t>$60</w:t>
      </w:r>
      <w:r>
        <w:rPr>
          <w:color w:val="525B60"/>
          <w:w w:val="105"/>
        </w:rPr>
        <w:t>,</w:t>
      </w:r>
      <w:r>
        <w:rPr>
          <w:color w:val="3F3F3F"/>
          <w:w w:val="105"/>
        </w:rPr>
        <w:t>316 (</w:t>
      </w:r>
      <w:r>
        <w:rPr>
          <w:color w:val="1C1C1C"/>
          <w:w w:val="105"/>
        </w:rPr>
        <w:t>increa</w:t>
      </w:r>
      <w:r>
        <w:rPr>
          <w:color w:val="3F3F3F"/>
          <w:w w:val="105"/>
        </w:rPr>
        <w:t>sed </w:t>
      </w:r>
      <w:r>
        <w:rPr>
          <w:color w:val="1C1C1C"/>
          <w:w w:val="105"/>
        </w:rPr>
        <w:t>from </w:t>
      </w:r>
      <w:r>
        <w:rPr>
          <w:color w:val="2F2F2F"/>
          <w:w w:val="105"/>
        </w:rPr>
        <w:t>$59,133)</w:t>
      </w:r>
    </w:p>
    <w:p>
      <w:pPr>
        <w:pStyle w:val="BodyText"/>
        <w:spacing w:before="5"/>
        <w:ind w:left="1192"/>
      </w:pPr>
      <w:r>
        <w:rPr>
          <w:color w:val="2F2F2F"/>
          <w:w w:val="105"/>
        </w:rPr>
        <w:t>$75</w:t>
      </w:r>
      <w:r>
        <w:rPr>
          <w:color w:val="525B60"/>
          <w:w w:val="105"/>
        </w:rPr>
        <w:t>,</w:t>
      </w:r>
      <w:r>
        <w:rPr>
          <w:color w:val="2F2F2F"/>
          <w:w w:val="105"/>
        </w:rPr>
        <w:t>375 (unchanged)</w:t>
      </w:r>
    </w:p>
    <w:p>
      <w:pPr>
        <w:spacing w:after="0"/>
        <w:sectPr>
          <w:type w:val="continuous"/>
          <w:pgSz w:w="11900" w:h="16840"/>
          <w:pgMar w:top="980" w:bottom="0" w:left="980" w:right="1680"/>
          <w:cols w:num="2" w:equalWidth="0">
            <w:col w:w="3789" w:space="40"/>
            <w:col w:w="5411"/>
          </w:cols>
        </w:sect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4515554</wp:posOffset>
            </wp:positionH>
            <wp:positionV relativeFrom="page">
              <wp:posOffset>10624704</wp:posOffset>
            </wp:positionV>
            <wp:extent cx="2926408" cy="6869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08" cy="6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0pt,775.315575pt" to="0pt,633.300537pt" stroked="true" strokeweight="0pt" strokecolor="#d8d8d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777792" from="12.260539pt,131.922592pt" to="580.933168pt,131.922592pt" stroked="true" strokeweight="6.848441pt" strokecolor="#000000">
            <v:stroke dashstyle="solid"/>
            <w10:wrap type="none"/>
          </v:line>
        </w:pict>
      </w:r>
    </w:p>
    <w:p>
      <w:pPr>
        <w:pStyle w:val="BodyText"/>
        <w:spacing w:line="254" w:lineRule="auto" w:before="94"/>
        <w:ind w:left="695" w:firstLine="1"/>
      </w:pPr>
      <w:r>
        <w:rPr>
          <w:color w:val="1C1C1C"/>
          <w:w w:val="105"/>
        </w:rPr>
        <w:t>The </w:t>
      </w:r>
      <w:r>
        <w:rPr>
          <w:color w:val="2F2F2F"/>
          <w:w w:val="105"/>
        </w:rPr>
        <w:t>increased LCT </w:t>
      </w:r>
      <w:r>
        <w:rPr>
          <w:color w:val="1C1C1C"/>
          <w:w w:val="105"/>
        </w:rPr>
        <w:t>threshold limit </w:t>
      </w:r>
      <w:r>
        <w:rPr>
          <w:color w:val="2F2F2F"/>
          <w:w w:val="105"/>
        </w:rPr>
        <w:t>advised in this notice </w:t>
      </w:r>
      <w:r>
        <w:rPr>
          <w:color w:val="3F3F3F"/>
          <w:w w:val="105"/>
        </w:rPr>
        <w:t>supe</w:t>
      </w:r>
      <w:r>
        <w:rPr>
          <w:color w:val="1C1C1C"/>
          <w:w w:val="105"/>
        </w:rPr>
        <w:t>rsedes </w:t>
      </w:r>
      <w:r>
        <w:rPr>
          <w:color w:val="2F2F2F"/>
          <w:w w:val="105"/>
        </w:rPr>
        <w:t>that advised in ACN </w:t>
      </w:r>
      <w:r>
        <w:rPr>
          <w:color w:val="3F3F3F"/>
          <w:w w:val="105"/>
        </w:rPr>
        <w:t>20</w:t>
      </w:r>
      <w:r>
        <w:rPr>
          <w:color w:val="1C1C1C"/>
          <w:w w:val="105"/>
        </w:rPr>
        <w:t>12</w:t>
      </w:r>
      <w:r>
        <w:rPr>
          <w:color w:val="3F3F3F"/>
          <w:w w:val="105"/>
        </w:rPr>
        <w:t>/40.</w:t>
      </w:r>
    </w:p>
    <w:p>
      <w:pPr>
        <w:pStyle w:val="BodyText"/>
        <w:spacing w:line="468" w:lineRule="exact" w:before="33"/>
        <w:ind w:left="699" w:right="665" w:hanging="4"/>
      </w:pPr>
      <w:r>
        <w:rPr>
          <w:color w:val="1C1C1C"/>
          <w:w w:val="105"/>
        </w:rPr>
        <w:t>The </w:t>
      </w:r>
      <w:r>
        <w:rPr>
          <w:color w:val="2F2F2F"/>
          <w:w w:val="105"/>
        </w:rPr>
        <w:t>Integ</w:t>
      </w:r>
      <w:r>
        <w:rPr>
          <w:color w:val="0C0C0C"/>
          <w:w w:val="105"/>
        </w:rPr>
        <w:t>r</w:t>
      </w:r>
      <w:r>
        <w:rPr>
          <w:color w:val="2F2F2F"/>
          <w:w w:val="105"/>
        </w:rPr>
        <w:t>ated Cargo System (ICS) has been </w:t>
      </w:r>
      <w:r>
        <w:rPr>
          <w:color w:val="3F3F3F"/>
          <w:w w:val="105"/>
        </w:rPr>
        <w:t>amended </w:t>
      </w:r>
      <w:r>
        <w:rPr>
          <w:color w:val="2F2F2F"/>
          <w:w w:val="105"/>
        </w:rPr>
        <w:t>to reflect the threshold </w:t>
      </w:r>
      <w:r>
        <w:rPr>
          <w:color w:val="3F3F3F"/>
          <w:w w:val="105"/>
        </w:rPr>
        <w:t>increase. </w:t>
      </w:r>
      <w:r>
        <w:rPr>
          <w:color w:val="1C1C1C"/>
          <w:w w:val="105"/>
        </w:rPr>
        <w:t>Further information </w:t>
      </w:r>
      <w:r>
        <w:rPr>
          <w:color w:val="2F2F2F"/>
          <w:w w:val="105"/>
        </w:rPr>
        <w:t>on:</w:t>
      </w:r>
    </w:p>
    <w:p>
      <w:pPr>
        <w:pStyle w:val="ListParagraph"/>
        <w:numPr>
          <w:ilvl w:val="0"/>
          <w:numId w:val="1"/>
        </w:numPr>
        <w:tabs>
          <w:tab w:pos="1550" w:val="left" w:leader="none"/>
        </w:tabs>
        <w:spacing w:line="171" w:lineRule="exact" w:before="0" w:after="0"/>
        <w:ind w:left="1549" w:right="0" w:hanging="125"/>
        <w:jc w:val="left"/>
        <w:rPr>
          <w:color w:val="1C1C1C"/>
          <w:sz w:val="19"/>
        </w:rPr>
      </w:pPr>
      <w:r>
        <w:rPr>
          <w:color w:val="2F2F2F"/>
          <w:w w:val="105"/>
          <w:sz w:val="19"/>
        </w:rPr>
        <w:t>fuel efficient cars is available from:</w:t>
      </w:r>
      <w:r>
        <w:rPr>
          <w:color w:val="3B5675"/>
          <w:spacing w:val="-33"/>
          <w:w w:val="105"/>
          <w:sz w:val="19"/>
        </w:rPr>
        <w:t> </w:t>
      </w:r>
      <w:hyperlink r:id="rId7">
        <w:r>
          <w:rPr>
            <w:color w:val="3B5675"/>
            <w:w w:val="105"/>
            <w:sz w:val="19"/>
            <w:u w:val="thick" w:color="525B60"/>
          </w:rPr>
          <w:t>www.infrastructure.gov</w:t>
        </w:r>
        <w:r>
          <w:rPr>
            <w:color w:val="525B60"/>
            <w:w w:val="105"/>
            <w:sz w:val="19"/>
            <w:u w:val="thick" w:color="525B60"/>
          </w:rPr>
          <w:t>.au</w:t>
        </w:r>
      </w:hyperlink>
    </w:p>
    <w:p>
      <w:pPr>
        <w:pStyle w:val="ListParagraph"/>
        <w:numPr>
          <w:ilvl w:val="0"/>
          <w:numId w:val="1"/>
        </w:numPr>
        <w:tabs>
          <w:tab w:pos="1552" w:val="left" w:leader="none"/>
        </w:tabs>
        <w:spacing w:line="240" w:lineRule="auto" w:before="19" w:after="0"/>
        <w:ind w:left="1551" w:right="0" w:hanging="127"/>
        <w:jc w:val="left"/>
        <w:rPr>
          <w:color w:val="1C1C1C"/>
          <w:sz w:val="19"/>
        </w:rPr>
      </w:pPr>
      <w:r>
        <w:rPr>
          <w:color w:val="2F2F2F"/>
          <w:w w:val="105"/>
          <w:sz w:val="19"/>
        </w:rPr>
        <w:t>quoting for </w:t>
      </w:r>
      <w:r>
        <w:rPr>
          <w:color w:val="1C1C1C"/>
          <w:w w:val="105"/>
          <w:sz w:val="19"/>
        </w:rPr>
        <w:t>LCT </w:t>
      </w:r>
      <w:r>
        <w:rPr>
          <w:color w:val="2F2F2F"/>
          <w:w w:val="105"/>
          <w:sz w:val="19"/>
        </w:rPr>
        <w:t>is available </w:t>
      </w:r>
      <w:r>
        <w:rPr>
          <w:color w:val="1C1C1C"/>
          <w:w w:val="105"/>
          <w:sz w:val="19"/>
        </w:rPr>
        <w:t>from</w:t>
      </w:r>
      <w:r>
        <w:rPr>
          <w:color w:val="525B60"/>
          <w:w w:val="105"/>
          <w:sz w:val="19"/>
        </w:rPr>
        <w:t>:</w:t>
      </w:r>
      <w:r>
        <w:rPr>
          <w:color w:val="3B5675"/>
          <w:spacing w:val="-31"/>
          <w:w w:val="105"/>
          <w:sz w:val="19"/>
        </w:rPr>
        <w:t> </w:t>
      </w:r>
      <w:hyperlink r:id="rId8">
        <w:r>
          <w:rPr>
            <w:color w:val="3B5675"/>
            <w:w w:val="105"/>
            <w:sz w:val="19"/>
            <w:u w:val="thick" w:color="3B5675"/>
          </w:rPr>
          <w:t>www.ato</w:t>
        </w:r>
        <w:r>
          <w:rPr>
            <w:color w:val="666B70"/>
            <w:w w:val="105"/>
            <w:sz w:val="19"/>
            <w:u w:val="thick" w:color="3B5675"/>
          </w:rPr>
          <w:t>.</w:t>
        </w:r>
        <w:r>
          <w:rPr>
            <w:color w:val="3B5675"/>
            <w:w w:val="105"/>
            <w:sz w:val="19"/>
            <w:u w:val="thick" w:color="3B5675"/>
          </w:rPr>
          <w:t>gov.au</w:t>
        </w:r>
      </w:hyperlink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5" w:after="0"/>
        <w:ind w:left="1558" w:right="0" w:hanging="134"/>
        <w:jc w:val="left"/>
        <w:rPr>
          <w:color w:val="1C1C1C"/>
          <w:sz w:val="19"/>
        </w:rPr>
      </w:pPr>
      <w:r>
        <w:rPr>
          <w:color w:val="2F2F2F"/>
          <w:w w:val="105"/>
          <w:sz w:val="19"/>
        </w:rPr>
        <w:t>exemptions from  </w:t>
      </w:r>
      <w:r>
        <w:rPr>
          <w:color w:val="1C1C1C"/>
          <w:w w:val="105"/>
          <w:sz w:val="19"/>
        </w:rPr>
        <w:t>LCT </w:t>
      </w:r>
      <w:r>
        <w:rPr>
          <w:color w:val="2F2F2F"/>
          <w:spacing w:val="2"/>
          <w:w w:val="105"/>
          <w:sz w:val="19"/>
        </w:rPr>
        <w:t>from</w:t>
      </w:r>
      <w:r>
        <w:rPr>
          <w:color w:val="525B60"/>
          <w:spacing w:val="2"/>
          <w:w w:val="105"/>
          <w:sz w:val="19"/>
        </w:rPr>
        <w:t>:</w:t>
      </w:r>
      <w:r>
        <w:rPr>
          <w:color w:val="3B5675"/>
          <w:spacing w:val="-28"/>
          <w:w w:val="105"/>
          <w:sz w:val="19"/>
        </w:rPr>
        <w:t> </w:t>
      </w:r>
      <w:hyperlink r:id="rId9">
        <w:r>
          <w:rPr>
            <w:color w:val="3B5675"/>
            <w:spacing w:val="-3"/>
            <w:w w:val="105"/>
            <w:sz w:val="19"/>
            <w:u w:val="thick" w:color="525B60"/>
          </w:rPr>
          <w:t>www.customs.</w:t>
        </w:r>
        <w:r>
          <w:rPr>
            <w:color w:val="1A3D54"/>
            <w:spacing w:val="-3"/>
            <w:w w:val="105"/>
            <w:sz w:val="19"/>
            <w:u w:val="thick" w:color="525B60"/>
          </w:rPr>
          <w:t>g</w:t>
        </w:r>
        <w:r>
          <w:rPr>
            <w:color w:val="3B5675"/>
            <w:spacing w:val="-3"/>
            <w:w w:val="105"/>
            <w:sz w:val="19"/>
            <w:u w:val="thick" w:color="525B60"/>
          </w:rPr>
          <w:t>ov</w:t>
        </w:r>
        <w:r>
          <w:rPr>
            <w:color w:val="525B60"/>
            <w:spacing w:val="-3"/>
            <w:w w:val="105"/>
            <w:sz w:val="19"/>
            <w:u w:val="thick" w:color="525B60"/>
          </w:rPr>
          <w:t>.au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699"/>
      </w:pPr>
      <w:r>
        <w:rPr>
          <w:color w:val="1C1C1C"/>
          <w:w w:val="105"/>
        </w:rPr>
        <w:t>For </w:t>
      </w:r>
      <w:r>
        <w:rPr>
          <w:color w:val="2F2F2F"/>
          <w:w w:val="105"/>
        </w:rPr>
        <w:t>queries </w:t>
      </w:r>
      <w:r>
        <w:rPr>
          <w:color w:val="3F3F3F"/>
          <w:w w:val="105"/>
        </w:rPr>
        <w:t>concerning </w:t>
      </w:r>
      <w:r>
        <w:rPr>
          <w:color w:val="2F2F2F"/>
          <w:w w:val="105"/>
        </w:rPr>
        <w:t>this notice</w:t>
      </w:r>
      <w:r>
        <w:rPr>
          <w:color w:val="666B70"/>
          <w:w w:val="105"/>
        </w:rPr>
        <w:t>, </w:t>
      </w:r>
      <w:r>
        <w:rPr>
          <w:color w:val="2F2F2F"/>
          <w:w w:val="105"/>
        </w:rPr>
        <w:t>please contact the Customs Information &amp; Support Centre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180" w:lineRule="exact" w:before="1"/>
        <w:ind w:left="705"/>
      </w:pPr>
      <w:r>
        <w:rPr/>
        <w:pict>
          <v:group style="position:absolute;margin-left:41.108849pt;margin-top:-103.818115pt;width:169.15pt;height:105.6pt;mso-position-horizontal-relative:page;mso-position-vertical-relative:paragraph;z-index:-15779328" coordorigin="822,-2076" coordsize="3383,2112">
            <v:shape style="position:absolute;left:822;top:-2042;width:3383;height:2077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76;top:-2077;width:1195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F2F2F"/>
                        <w:w w:val="105"/>
                        <w:sz w:val="19"/>
                      </w:rPr>
                      <w:t>300 363 263.</w:t>
                    </w:r>
                  </w:p>
                </w:txbxContent>
              </v:textbox>
              <w10:wrap type="none"/>
            </v:shape>
            <v:shape style="position:absolute;left:1685;top:-693;width:2306;height:68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1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F2F2F"/>
                        <w:w w:val="110"/>
                        <w:sz w:val="19"/>
                      </w:rPr>
                      <w:t>avid </w:t>
                    </w:r>
                    <w:r>
                      <w:rPr>
                        <w:color w:val="1C1C1C"/>
                        <w:w w:val="110"/>
                        <w:sz w:val="19"/>
                      </w:rPr>
                      <w:t>L</w:t>
                    </w:r>
                    <w:r>
                      <w:rPr>
                        <w:color w:val="3F3F3F"/>
                        <w:w w:val="110"/>
                        <w:sz w:val="19"/>
                      </w:rPr>
                      <w:t>eo</w:t>
                    </w:r>
                    <w:r>
                      <w:rPr>
                        <w:color w:val="1C1C1C"/>
                        <w:w w:val="110"/>
                        <w:sz w:val="19"/>
                      </w:rPr>
                      <w:t>nard</w:t>
                    </w:r>
                  </w:p>
                  <w:p>
                    <w:pPr>
                      <w:spacing w:line="261" w:lineRule="auto" w:before="12"/>
                      <w:ind w:left="0" w:right="13" w:firstLine="2"/>
                      <w:jc w:val="left"/>
                      <w:rPr>
                        <w:sz w:val="19"/>
                      </w:rPr>
                    </w:pPr>
                    <w:r>
                      <w:rPr>
                        <w:color w:val="2F2F2F"/>
                        <w:w w:val="110"/>
                        <w:sz w:val="19"/>
                      </w:rPr>
                      <w:t>A/g </w:t>
                    </w:r>
                    <w:r>
                      <w:rPr>
                        <w:color w:val="1C1C1C"/>
                        <w:spacing w:val="-3"/>
                        <w:w w:val="110"/>
                        <w:sz w:val="19"/>
                      </w:rPr>
                      <w:t>N</w:t>
                    </w:r>
                    <w:r>
                      <w:rPr>
                        <w:color w:val="3F3F3F"/>
                        <w:spacing w:val="-3"/>
                        <w:w w:val="110"/>
                        <w:sz w:val="19"/>
                      </w:rPr>
                      <w:t>at</w:t>
                    </w:r>
                    <w:r>
                      <w:rPr>
                        <w:color w:val="1C1C1C"/>
                        <w:spacing w:val="-3"/>
                        <w:w w:val="110"/>
                        <w:sz w:val="19"/>
                      </w:rPr>
                      <w:t>ion</w:t>
                    </w:r>
                    <w:r>
                      <w:rPr>
                        <w:color w:val="3F3F3F"/>
                        <w:spacing w:val="-3"/>
                        <w:w w:val="110"/>
                        <w:sz w:val="19"/>
                      </w:rPr>
                      <w:t>al </w:t>
                    </w:r>
                    <w:r>
                      <w:rPr>
                        <w:color w:val="1C1C1C"/>
                        <w:w w:val="110"/>
                        <w:sz w:val="19"/>
                      </w:rPr>
                      <w:t>Director </w:t>
                    </w:r>
                    <w:r>
                      <w:rPr>
                        <w:color w:val="2F2F2F"/>
                        <w:w w:val="110"/>
                        <w:sz w:val="19"/>
                      </w:rPr>
                      <w:t>Cargo</w:t>
                    </w:r>
                    <w:r>
                      <w:rPr>
                        <w:color w:val="2F2F2F"/>
                        <w:spacing w:val="-1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2F2F2F"/>
                        <w:w w:val="110"/>
                        <w:sz w:val="19"/>
                      </w:rPr>
                      <w:t>and</w:t>
                    </w:r>
                    <w:r>
                      <w:rPr>
                        <w:color w:val="2F2F2F"/>
                        <w:spacing w:val="-25"/>
                        <w:w w:val="110"/>
                        <w:sz w:val="19"/>
                      </w:rPr>
                      <w:t> </w:t>
                    </w:r>
                    <w:r>
                      <w:rPr>
                        <w:color w:val="1C1C1C"/>
                        <w:w w:val="110"/>
                        <w:sz w:val="19"/>
                      </w:rPr>
                      <w:t>Tr</w:t>
                    </w:r>
                    <w:r>
                      <w:rPr>
                        <w:color w:val="3F3F3F"/>
                        <w:w w:val="110"/>
                        <w:sz w:val="19"/>
                      </w:rPr>
                      <w:t>ade</w:t>
                    </w:r>
                    <w:r>
                      <w:rPr>
                        <w:color w:val="3F3F3F"/>
                        <w:spacing w:val="-30"/>
                        <w:w w:val="110"/>
                        <w:sz w:val="19"/>
                      </w:rPr>
                      <w:t> </w:t>
                    </w:r>
                    <w:r>
                      <w:rPr>
                        <w:color w:val="1C1C1C"/>
                        <w:spacing w:val="-3"/>
                        <w:w w:val="110"/>
                        <w:sz w:val="19"/>
                      </w:rPr>
                      <w:t>Divi</w:t>
                    </w:r>
                    <w:r>
                      <w:rPr>
                        <w:color w:val="3F3F3F"/>
                        <w:spacing w:val="-3"/>
                        <w:w w:val="110"/>
                        <w:sz w:val="19"/>
                      </w:rPr>
                      <w:t>s</w:t>
                    </w:r>
                    <w:r>
                      <w:rPr>
                        <w:color w:val="1C1C1C"/>
                        <w:spacing w:val="-3"/>
                        <w:w w:val="110"/>
                        <w:sz w:val="19"/>
                      </w:rPr>
                      <w:t>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7.345543pt;margin-top:1.947809pt;width:7.9pt;height:24.4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488" w:lineRule="exact" w:before="0"/>
                    <w:ind w:left="0" w:right="0" w:firstLine="0"/>
                    <w:jc w:val="left"/>
                    <w:rPr>
                      <w:rFonts w:ascii="TimesNewRomanPS-BoldItalicMT"/>
                      <w:b/>
                      <w:i/>
                      <w:sz w:val="44"/>
                    </w:rPr>
                  </w:pPr>
                  <w:r>
                    <w:rPr>
                      <w:rFonts w:ascii="TimesNewRomanPS-BoldItalicMT"/>
                      <w:b/>
                      <w:i/>
                      <w:color w:val="3F3F3F"/>
                      <w:spacing w:val="-12"/>
                      <w:w w:val="55"/>
                      <w:sz w:val="44"/>
                    </w:rPr>
                    <w:t>J.</w:t>
                  </w:r>
                </w:p>
              </w:txbxContent>
            </v:textbox>
            <w10:wrap type="none"/>
          </v:shape>
        </w:pict>
      </w:r>
      <w:r>
        <w:rPr>
          <w:color w:val="2F2F2F"/>
          <w:w w:val="105"/>
        </w:rPr>
        <w:t>CANBERRA ACT</w:t>
      </w:r>
    </w:p>
    <w:p>
      <w:pPr>
        <w:spacing w:line="318" w:lineRule="exact" w:before="0"/>
        <w:ind w:left="808" w:right="0" w:firstLine="0"/>
        <w:jc w:val="left"/>
        <w:rPr>
          <w:sz w:val="19"/>
        </w:rPr>
      </w:pPr>
      <w:r>
        <w:rPr>
          <w:rFonts w:ascii="TimesNewRomanPS-BoldItalicMT"/>
          <w:b/>
          <w:i/>
          <w:color w:val="3F3F3F"/>
          <w:w w:val="80"/>
          <w:sz w:val="31"/>
        </w:rPr>
        <w:t>S" </w:t>
      </w:r>
      <w:r>
        <w:rPr>
          <w:color w:val="2F2F2F"/>
          <w:w w:val="80"/>
          <w:sz w:val="19"/>
        </w:rPr>
        <w:t>Ju </w:t>
      </w:r>
      <w:r>
        <w:rPr>
          <w:color w:val="0C0C0C"/>
          <w:w w:val="80"/>
          <w:sz w:val="19"/>
        </w:rPr>
        <w:t>l </w:t>
      </w:r>
      <w:r>
        <w:rPr>
          <w:color w:val="3F3F3F"/>
          <w:w w:val="80"/>
          <w:sz w:val="19"/>
        </w:rPr>
        <w:t>y </w:t>
      </w:r>
      <w:r>
        <w:rPr>
          <w:color w:val="2F2F2F"/>
          <w:w w:val="95"/>
          <w:sz w:val="19"/>
        </w:rPr>
        <w:t>2012</w:t>
      </w:r>
    </w:p>
    <w:sectPr>
      <w:type w:val="continuous"/>
      <w:pgSz w:w="11900" w:h="16840"/>
      <w:pgMar w:top="980" w:bottom="0" w:left="9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551" w:hanging="126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782" w:hanging="1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5" w:hanging="1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8" w:hanging="1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1" w:hanging="1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4" w:hanging="1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6" w:hanging="1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19" w:hanging="1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42" w:hanging="1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694"/>
      <w:outlineLvl w:val="1"/>
    </w:pPr>
    <w:rPr>
      <w:rFonts w:ascii="Arial" w:hAnsi="Arial" w:eastAsia="Arial" w:cs="Arial"/>
      <w:b/>
      <w:bCs/>
      <w:sz w:val="27"/>
      <w:szCs w:val="27"/>
    </w:rPr>
  </w:style>
  <w:style w:styleId="Title" w:type="paragraph">
    <w:name w:val="Title"/>
    <w:basedOn w:val="Normal"/>
    <w:uiPriority w:val="1"/>
    <w:qFormat/>
    <w:pPr>
      <w:spacing w:line="488" w:lineRule="exact"/>
    </w:pPr>
    <w:rPr>
      <w:rFonts w:ascii="TimesNewRomanPS-BoldItalicMT" w:hAnsi="TimesNewRomanPS-BoldItalicMT" w:eastAsia="TimesNewRomanPS-BoldItalicMT" w:cs="TimesNewRomanPS-BoldItalicMT"/>
      <w:b/>
      <w:bCs/>
      <w:i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5"/>
      <w:ind w:left="1551" w:hanging="12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infrastructure.gov.au/" TargetMode="External"/><Relationship Id="rId8" Type="http://schemas.openxmlformats.org/officeDocument/2006/relationships/hyperlink" Target="http://www.ato.gov.au/" TargetMode="External"/><Relationship Id="rId9" Type="http://schemas.openxmlformats.org/officeDocument/2006/relationships/hyperlink" Target="http://www.customs.gov.au/" TargetMode="External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2020-12-09T23:16:37Z</dcterms:created>
  <dcterms:modified xsi:type="dcterms:W3CDTF">2020-12-09T23:16:37Z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2013-07-25T00:00:00Z</vt:filetime>
  </property>
  <property fmtid="{D5CDD505-2E9C-101B-9397-08002B2CF9AE}" pid="3" name="Creator">
    <vt:lpwstr>OmniPage CSDK 16</vt:lpwstr>
  </property>
  <property fmtid="{D5CDD505-2E9C-101B-9397-08002B2CF9AE}" pid="4" name="LastSaved">
    <vt:filetime>2020-12-09T00:00:00Z</vt:filetime>
  </property>
</Properties>
</file>