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2013/49</w:t>
      </w:r>
    </w:p>
    <w:p>
      <w:pPr>
        <w:pStyle w:val="Title"/>
      </w:pPr>
      <w:r>
        <w:rPr/>
        <w:t>Application for Customs Broker Licence</w:t>
      </w:r>
    </w:p>
    <w:p>
      <w:pPr>
        <w:pStyle w:val="BodyText"/>
        <w:spacing w:before="2"/>
        <w:rPr>
          <w:b/>
          <w:sz w:val="25"/>
        </w:rPr>
      </w:pPr>
    </w:p>
    <w:p>
      <w:pPr>
        <w:pStyle w:val="BodyText"/>
        <w:spacing w:line="235" w:lineRule="auto"/>
        <w:ind w:left="1519" w:right="2094"/>
      </w:pPr>
      <w:r>
        <w:rPr/>
        <w:t>The following company and individual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3221" w:hRule="atLeast"/>
        </w:trPr>
        <w:tc>
          <w:tcPr>
            <w:tcW w:w="4600" w:type="dxa"/>
          </w:tcPr>
          <w:p>
            <w:pPr>
              <w:pStyle w:val="TableParagraph"/>
              <w:spacing w:line="220" w:lineRule="exact"/>
              <w:rPr>
                <w:b/>
                <w:sz w:val="20"/>
              </w:rPr>
            </w:pPr>
            <w:r>
              <w:rPr>
                <w:b/>
                <w:sz w:val="20"/>
                <w:u w:val="single"/>
              </w:rPr>
              <w:t>COMPANY</w:t>
            </w:r>
          </w:p>
          <w:p>
            <w:pPr>
              <w:pStyle w:val="TableParagraph"/>
              <w:spacing w:before="6"/>
              <w:ind w:right="1225"/>
              <w:rPr>
                <w:sz w:val="20"/>
              </w:rPr>
            </w:pPr>
            <w:r>
              <w:rPr>
                <w:sz w:val="20"/>
              </w:rPr>
              <w:t>Crowe Horwath (Australasia) Pty Ltd ABN 84 006 466 351</w:t>
            </w:r>
          </w:p>
          <w:p>
            <w:pPr>
              <w:pStyle w:val="TableParagraph"/>
              <w:rPr>
                <w:sz w:val="20"/>
              </w:rPr>
            </w:pPr>
            <w:r>
              <w:rPr>
                <w:sz w:val="20"/>
              </w:rPr>
              <w:t>Level 15, 1 O’Connell Street,</w:t>
            </w:r>
          </w:p>
          <w:p>
            <w:pPr>
              <w:pStyle w:val="TableParagraph"/>
              <w:spacing w:before="1"/>
              <w:rPr>
                <w:sz w:val="20"/>
              </w:rPr>
            </w:pPr>
            <w:r>
              <w:rPr>
                <w:sz w:val="20"/>
              </w:rPr>
              <w:t>SYDNEY NSW 2000</w:t>
            </w:r>
          </w:p>
          <w:p>
            <w:pPr>
              <w:pStyle w:val="TableParagraph"/>
              <w:spacing w:before="7"/>
              <w:ind w:left="0"/>
              <w:rPr>
                <w:sz w:val="19"/>
              </w:rPr>
            </w:pPr>
          </w:p>
          <w:p>
            <w:pPr>
              <w:pStyle w:val="TableParagraph"/>
              <w:spacing w:line="242" w:lineRule="auto"/>
              <w:ind w:right="1747"/>
              <w:rPr>
                <w:sz w:val="20"/>
              </w:rPr>
            </w:pPr>
            <w:r>
              <w:rPr>
                <w:b/>
                <w:sz w:val="20"/>
              </w:rPr>
              <w:t>Persons in Authority </w:t>
            </w:r>
            <w:r>
              <w:rPr>
                <w:sz w:val="20"/>
              </w:rPr>
              <w:t>PATERSON, Bruce Craig PRICE, Christopher Murray MACPHERSON, Andrew John</w:t>
            </w:r>
          </w:p>
          <w:p>
            <w:pPr>
              <w:pStyle w:val="TableParagraph"/>
              <w:ind w:left="0"/>
              <w:rPr>
                <w:sz w:val="19"/>
              </w:rPr>
            </w:pPr>
          </w:p>
          <w:p>
            <w:pPr>
              <w:pStyle w:val="TableParagraph"/>
              <w:rPr>
                <w:b/>
                <w:sz w:val="20"/>
              </w:rPr>
            </w:pPr>
            <w:r>
              <w:rPr>
                <w:b/>
                <w:sz w:val="20"/>
              </w:rPr>
              <w:t>Nominee</w:t>
            </w:r>
          </w:p>
          <w:p>
            <w:pPr>
              <w:pStyle w:val="TableParagraph"/>
              <w:spacing w:before="6"/>
              <w:rPr>
                <w:sz w:val="20"/>
              </w:rPr>
            </w:pPr>
            <w:r>
              <w:rPr>
                <w:sz w:val="20"/>
              </w:rPr>
              <w:t>WILKINSON, Russell Mark</w:t>
            </w:r>
          </w:p>
        </w:tc>
        <w:tc>
          <w:tcPr>
            <w:tcW w:w="4528" w:type="dxa"/>
          </w:tcPr>
          <w:p>
            <w:pPr>
              <w:pStyle w:val="TableParagraph"/>
              <w:spacing w:line="220" w:lineRule="exact"/>
              <w:rPr>
                <w:b/>
                <w:sz w:val="20"/>
              </w:rPr>
            </w:pPr>
            <w:r>
              <w:rPr>
                <w:b/>
                <w:sz w:val="20"/>
                <w:u w:val="single"/>
              </w:rPr>
              <w:t>INDIVIDUAL</w:t>
            </w:r>
          </w:p>
          <w:p>
            <w:pPr>
              <w:pStyle w:val="TableParagraph"/>
              <w:spacing w:before="6"/>
              <w:rPr>
                <w:sz w:val="20"/>
              </w:rPr>
            </w:pPr>
            <w:r>
              <w:rPr>
                <w:sz w:val="20"/>
              </w:rPr>
              <w:t>KIM, Eun Woo</w:t>
            </w:r>
          </w:p>
        </w:tc>
      </w:tr>
    </w:tbl>
    <w:p>
      <w:pPr>
        <w:pStyle w:val="BodyText"/>
        <w:spacing w:before="7"/>
        <w:rPr>
          <w:sz w:val="19"/>
        </w:rPr>
      </w:pPr>
    </w:p>
    <w:p>
      <w:pPr>
        <w:pStyle w:val="BodyText"/>
        <w:ind w:left="1519" w:right="1726"/>
      </w:pPr>
      <w:r>
        <w:rPr/>
        <w:t>Any persons wishing to make written representation in respect of these applications should address the correspondence by Friday 18 October 2013 to:</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7" w:hRule="atLeast"/>
        </w:trPr>
        <w:tc>
          <w:tcPr>
            <w:tcW w:w="3772" w:type="dxa"/>
          </w:tcPr>
          <w:p>
            <w:pPr>
              <w:pStyle w:val="TableParagraph"/>
              <w:spacing w:line="225" w:lineRule="exact"/>
              <w:ind w:left="200"/>
              <w:rPr>
                <w:sz w:val="20"/>
              </w:rPr>
            </w:pPr>
            <w:r>
              <w:rPr>
                <w:sz w:val="20"/>
              </w:rPr>
              <w:t>Broker Licensing</w:t>
            </w:r>
          </w:p>
          <w:p>
            <w:pPr>
              <w:pStyle w:val="TableParagraph"/>
              <w:ind w:left="200" w:right="772"/>
              <w:rPr>
                <w:sz w:val="20"/>
              </w:rPr>
            </w:pPr>
            <w:r>
              <w:rPr>
                <w:sz w:val="20"/>
              </w:rPr>
              <w:t>Australian Customs and Border Protection Service</w:t>
            </w:r>
          </w:p>
          <w:p>
            <w:pPr>
              <w:pStyle w:val="TableParagraph"/>
              <w:spacing w:before="1"/>
              <w:ind w:left="200"/>
              <w:rPr>
                <w:sz w:val="20"/>
              </w:rPr>
            </w:pPr>
            <w:r>
              <w:rPr>
                <w:sz w:val="20"/>
              </w:rPr>
              <w:t>5 Constitution Avenue</w:t>
            </w:r>
          </w:p>
          <w:p>
            <w:pPr>
              <w:pStyle w:val="TableParagraph"/>
              <w:spacing w:line="210" w:lineRule="exact" w:before="1"/>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spacing w:before="7"/>
        <w:rPr>
          <w:sz w:val="19"/>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637"/>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spacing w:line="235" w:lineRule="auto" w:before="167"/>
        <w:ind w:left="1519" w:right="8919"/>
      </w:pPr>
      <w:r>
        <w:rPr/>
        <w:t>John Arndell Director</w:t>
      </w:r>
    </w:p>
    <w:p>
      <w:pPr>
        <w:pStyle w:val="BodyText"/>
        <w:spacing w:before="2"/>
        <w:ind w:left="1519" w:right="7974"/>
      </w:pPr>
      <w:r>
        <w:rPr/>
        <w:t>Cargo Reporting Policy CANBERRA ACT</w:t>
      </w:r>
    </w:p>
    <w:p>
      <w:pPr>
        <w:pStyle w:val="BodyText"/>
        <w:spacing w:before="1"/>
        <w:ind w:left="1519"/>
      </w:pPr>
      <w:r>
        <w:rPr/>
        <w:t>1 October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2020-12-09T22:48:31Z</dcterms:created>
  <dcterms:modified xsi:type="dcterms:W3CDTF">2020-12-09T22:48:31Z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2020-12-09T00:00:00Z</vt:filetime>
  </property>
</Properties>
</file>