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Heading1"/>
        <w:spacing w:before="84"/>
        <w:ind w:right="1644"/>
      </w:pPr>
      <w:r>
        <w:rPr/>
        <w:t>AUSTRALIAN CUSTOMS AND BORDER PROTECTION NOTICE NO.</w:t>
      </w:r>
    </w:p>
    <w:p>
      <w:pPr>
        <w:spacing w:before="1"/>
        <w:ind w:left="1623" w:right="1641" w:firstLine="0"/>
        <w:jc w:val="center"/>
        <w:rPr>
          <w:b/>
          <w:sz w:val="26"/>
        </w:rPr>
      </w:pPr>
      <w:r>
        <w:rPr/>
        <w:pict>
          <v:rect style="position:absolute;margin-left:83.664001pt;margin-top:16.203882pt;width:428.11pt;height:.71999pt;mso-position-horizontal-relative:page;mso-position-vertical-relative:paragraph;z-index:-15728640;mso-wrap-distance-left:0;mso-wrap-distance-right:0" filled="true" fillcolor="#000000" stroked="false">
            <v:fill type="solid"/>
            <w10:wrap type="topAndBottom"/>
          </v:rect>
        </w:pict>
      </w:r>
      <w:r>
        <w:rPr>
          <w:b/>
          <w:sz w:val="26"/>
        </w:rPr>
        <w:t>2013/57</w:t>
      </w:r>
    </w:p>
    <w:p>
      <w:pPr>
        <w:pStyle w:val="BodyText"/>
        <w:spacing w:before="7"/>
        <w:rPr>
          <w:b/>
          <w:sz w:val="13"/>
        </w:rPr>
      </w:pPr>
    </w:p>
    <w:p>
      <w:pPr>
        <w:pStyle w:val="Heading1"/>
        <w:spacing w:before="91"/>
      </w:pPr>
      <w:r>
        <w:rPr/>
        <w:t>Statistical Code and Duty Rate Changes for 1 January 2014</w:t>
      </w:r>
    </w:p>
    <w:p>
      <w:pPr>
        <w:pStyle w:val="BodyText"/>
        <w:spacing w:before="231"/>
        <w:ind w:left="1522"/>
      </w:pPr>
      <w:r>
        <w:rPr>
          <w:u w:val="single"/>
        </w:rPr>
        <w:t>Statistical Code Changes</w:t>
      </w:r>
    </w:p>
    <w:p>
      <w:pPr>
        <w:pStyle w:val="BodyText"/>
        <w:spacing w:before="208"/>
        <w:ind w:left="1522" w:right="1541"/>
      </w:pPr>
      <w:r>
        <w:rPr/>
        <w:t>The Australian Bureau of Statistics (ABS) has advised of changes to statistical codes in the Customs Tariff Working pages for imports, from 1 January 2014, for tariff subheadings 3003.40.00, 3004.40.00, 3918.90.00, 4008.11.00, 5703.20.00, and</w:t>
      </w:r>
    </w:p>
    <w:p>
      <w:pPr>
        <w:pStyle w:val="BodyText"/>
        <w:ind w:left="1522"/>
      </w:pPr>
      <w:r>
        <w:rPr/>
        <w:t>5703.30.00.</w:t>
      </w:r>
    </w:p>
    <w:p>
      <w:pPr>
        <w:pStyle w:val="BodyText"/>
      </w:pPr>
    </w:p>
    <w:p>
      <w:pPr>
        <w:pStyle w:val="BodyText"/>
        <w:ind w:left="1522" w:right="1529"/>
      </w:pPr>
      <w:r>
        <w:rPr/>
        <w:t>The ABS has made corresponding changes to the Australian Harmonized Export Commodity Classification. Australian Customs Border Protection Notice 2013/60 refers.</w:t>
      </w:r>
    </w:p>
    <w:p>
      <w:pPr>
        <w:pStyle w:val="BodyText"/>
        <w:spacing w:before="207"/>
        <w:ind w:left="1522"/>
      </w:pPr>
      <w:r>
        <w:rPr>
          <w:u w:val="single"/>
        </w:rPr>
        <w:t>Reduction of duty rates under Free Trade Agreements</w:t>
      </w:r>
    </w:p>
    <w:p>
      <w:pPr>
        <w:pStyle w:val="BodyText"/>
        <w:spacing w:before="208"/>
        <w:ind w:left="1522" w:right="1700"/>
      </w:pPr>
      <w:r>
        <w:rPr/>
        <w:t>Schedules 5, 7 and 8 of the Customs Tariff Working Pages specify phasing duty rates for:</w:t>
      </w:r>
    </w:p>
    <w:p>
      <w:pPr>
        <w:pStyle w:val="ListParagraph"/>
        <w:numPr>
          <w:ilvl w:val="0"/>
          <w:numId w:val="1"/>
        </w:numPr>
        <w:tabs>
          <w:tab w:pos="2241" w:val="left" w:leader="none"/>
          <w:tab w:pos="2242" w:val="left" w:leader="none"/>
        </w:tabs>
        <w:spacing w:line="223" w:lineRule="auto" w:before="25" w:after="0"/>
        <w:ind w:left="2242" w:right="2715" w:hanging="360"/>
        <w:jc w:val="left"/>
        <w:rPr>
          <w:sz w:val="22"/>
        </w:rPr>
      </w:pPr>
      <w:r>
        <w:rPr>
          <w:sz w:val="22"/>
        </w:rPr>
        <w:t>Footwear from the US under the Australia-United States Free Trade Agreement;</w:t>
      </w:r>
    </w:p>
    <w:p>
      <w:pPr>
        <w:pStyle w:val="ListParagraph"/>
        <w:numPr>
          <w:ilvl w:val="0"/>
          <w:numId w:val="1"/>
        </w:numPr>
        <w:tabs>
          <w:tab w:pos="2241" w:val="left" w:leader="none"/>
          <w:tab w:pos="2242" w:val="left" w:leader="none"/>
        </w:tabs>
        <w:spacing w:line="270" w:lineRule="exact" w:before="18" w:after="0"/>
        <w:ind w:left="2242" w:right="0" w:hanging="360"/>
        <w:jc w:val="left"/>
        <w:rPr>
          <w:sz w:val="22"/>
        </w:rPr>
      </w:pPr>
      <w:r>
        <w:rPr>
          <w:sz w:val="22"/>
        </w:rPr>
        <w:t>Chilean grapes under the Australia-Chile Free Trade Agreement;</w:t>
      </w:r>
      <w:r>
        <w:rPr>
          <w:spacing w:val="-3"/>
          <w:sz w:val="22"/>
        </w:rPr>
        <w:t> </w:t>
      </w:r>
      <w:r>
        <w:rPr>
          <w:sz w:val="22"/>
        </w:rPr>
        <w:t>and</w:t>
      </w:r>
    </w:p>
    <w:p>
      <w:pPr>
        <w:pStyle w:val="ListParagraph"/>
        <w:numPr>
          <w:ilvl w:val="0"/>
          <w:numId w:val="1"/>
        </w:numPr>
        <w:tabs>
          <w:tab w:pos="2241" w:val="left" w:leader="none"/>
          <w:tab w:pos="2242" w:val="left" w:leader="none"/>
        </w:tabs>
        <w:spacing w:line="223" w:lineRule="auto" w:before="12" w:after="0"/>
        <w:ind w:left="2242" w:right="1581" w:hanging="360"/>
        <w:jc w:val="left"/>
        <w:rPr>
          <w:sz w:val="22"/>
        </w:rPr>
      </w:pPr>
      <w:r>
        <w:rPr>
          <w:sz w:val="22"/>
        </w:rPr>
        <w:t>Certain motor vehicles under the Agreement Establishing the ASEAN-Australia- New Zealand Free Trade Area</w:t>
      </w:r>
      <w:r>
        <w:rPr>
          <w:spacing w:val="-7"/>
          <w:sz w:val="22"/>
        </w:rPr>
        <w:t> </w:t>
      </w:r>
      <w:r>
        <w:rPr>
          <w:sz w:val="22"/>
        </w:rPr>
        <w:t>(AANZFTA).</w:t>
      </w:r>
    </w:p>
    <w:p>
      <w:pPr>
        <w:pStyle w:val="BodyText"/>
        <w:spacing w:before="3"/>
      </w:pPr>
    </w:p>
    <w:p>
      <w:pPr>
        <w:pStyle w:val="BodyText"/>
        <w:ind w:left="1522" w:right="2261"/>
      </w:pPr>
      <w:r>
        <w:rPr/>
        <w:t>These phasing rates apply to goods entered for home consumption on and after 1 January 2014.</w:t>
      </w:r>
    </w:p>
    <w:p>
      <w:pPr>
        <w:pStyle w:val="BodyText"/>
        <w:spacing w:before="207"/>
        <w:ind w:left="1522" w:right="1603"/>
      </w:pPr>
      <w:r>
        <w:rPr/>
        <w:t>Note: From 1 January 2014, importers of certain eligible motor vehicles from Indonesia classified under tariff heading 8703 will be able to access the AANZFTA preferential rate. This can be done by quoting Rate Number 02 and the Preference Scheme AANZ on import declarations.</w:t>
      </w:r>
    </w:p>
    <w:p>
      <w:pPr>
        <w:pStyle w:val="BodyText"/>
        <w:spacing w:before="207"/>
        <w:ind w:left="1522"/>
      </w:pPr>
      <w:r>
        <w:rPr>
          <w:u w:val="single"/>
        </w:rPr>
        <w:t>Enquiries</w:t>
      </w:r>
    </w:p>
    <w:p>
      <w:pPr>
        <w:pStyle w:val="BodyText"/>
        <w:spacing w:before="7"/>
        <w:rPr>
          <w:sz w:val="18"/>
        </w:rPr>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5"/>
        <w:gridCol w:w="4193"/>
      </w:tblGrid>
      <w:tr>
        <w:trPr>
          <w:trHeight w:val="1718" w:hRule="atLeast"/>
        </w:trPr>
        <w:tc>
          <w:tcPr>
            <w:tcW w:w="4545" w:type="dxa"/>
          </w:tcPr>
          <w:p>
            <w:pPr>
              <w:pStyle w:val="TableParagraph"/>
              <w:spacing w:line="247" w:lineRule="exact"/>
              <w:rPr>
                <w:sz w:val="22"/>
              </w:rPr>
            </w:pPr>
            <w:r>
              <w:rPr>
                <w:sz w:val="22"/>
                <w:u w:val="single"/>
              </w:rPr>
              <w:t>Customs Tariff</w:t>
            </w:r>
          </w:p>
          <w:p>
            <w:pPr>
              <w:pStyle w:val="TableParagraph"/>
              <w:spacing w:line="240" w:lineRule="auto" w:before="208"/>
              <w:ind w:right="216"/>
              <w:rPr>
                <w:sz w:val="22"/>
              </w:rPr>
            </w:pPr>
            <w:r>
              <w:rPr>
                <w:sz w:val="22"/>
              </w:rPr>
              <w:t>Manager Legislation and Tariff Policy Australian Customs and Border Protection Service</w:t>
            </w:r>
          </w:p>
          <w:p>
            <w:pPr>
              <w:pStyle w:val="TableParagraph"/>
              <w:spacing w:line="252" w:lineRule="exact"/>
              <w:rPr>
                <w:sz w:val="22"/>
              </w:rPr>
            </w:pPr>
            <w:r>
              <w:rPr>
                <w:sz w:val="22"/>
              </w:rPr>
              <w:t>Ph: (02) 6275 6542</w:t>
            </w:r>
          </w:p>
          <w:p>
            <w:pPr>
              <w:pStyle w:val="TableParagraph"/>
              <w:spacing w:line="233" w:lineRule="exact"/>
              <w:rPr>
                <w:sz w:val="22"/>
              </w:rPr>
            </w:pPr>
            <w:r>
              <w:rPr>
                <w:sz w:val="22"/>
              </w:rPr>
              <w:t>Email: </w:t>
            </w:r>
            <w:hyperlink r:id="rId6">
              <w:r>
                <w:rPr>
                  <w:color w:val="0000FF"/>
                  <w:sz w:val="22"/>
                  <w:u w:val="single" w:color="0000FF"/>
                </w:rPr>
                <w:t>tariff@customs.gov.au</w:t>
              </w:r>
            </w:hyperlink>
          </w:p>
        </w:tc>
        <w:tc>
          <w:tcPr>
            <w:tcW w:w="4193" w:type="dxa"/>
          </w:tcPr>
          <w:p>
            <w:pPr>
              <w:pStyle w:val="TableParagraph"/>
              <w:spacing w:line="247" w:lineRule="exact"/>
              <w:ind w:left="234"/>
              <w:rPr>
                <w:sz w:val="22"/>
              </w:rPr>
            </w:pPr>
            <w:r>
              <w:rPr>
                <w:sz w:val="22"/>
                <w:u w:val="single"/>
              </w:rPr>
              <w:t>Statistical Codes</w:t>
            </w:r>
          </w:p>
          <w:p>
            <w:pPr>
              <w:pStyle w:val="TableParagraph"/>
              <w:spacing w:line="240" w:lineRule="auto" w:before="208"/>
              <w:ind w:left="258" w:right="980"/>
              <w:rPr>
                <w:sz w:val="22"/>
              </w:rPr>
            </w:pPr>
            <w:r>
              <w:rPr>
                <w:sz w:val="22"/>
              </w:rPr>
              <w:t>Classification Manager International Trade Section Australian Bureau of Statistics Ph: (02) 6252 5409</w:t>
            </w:r>
          </w:p>
          <w:p>
            <w:pPr>
              <w:pStyle w:val="TableParagraph"/>
              <w:spacing w:line="232" w:lineRule="exact"/>
              <w:ind w:left="258"/>
              <w:rPr>
                <w:sz w:val="22"/>
              </w:rPr>
            </w:pPr>
            <w:r>
              <w:rPr>
                <w:sz w:val="22"/>
              </w:rPr>
              <w:t>Email: </w:t>
            </w:r>
            <w:hyperlink r:id="rId7">
              <w:r>
                <w:rPr>
                  <w:color w:val="0000FF"/>
                  <w:sz w:val="22"/>
                  <w:u w:val="single" w:color="0000FF"/>
                </w:rPr>
                <w:t>international.trade@abs.gov.au</w:t>
              </w:r>
            </w:hyperlink>
          </w:p>
        </w:tc>
      </w:tr>
    </w:tbl>
    <w:p>
      <w:pPr>
        <w:spacing w:after="0" w:line="232" w:lineRule="exact"/>
        <w:rPr>
          <w:sz w:val="22"/>
        </w:rPr>
        <w:sectPr>
          <w:type w:val="continuous"/>
          <w:pgSz w:w="11910" w:h="16840"/>
          <w:pgMar w:top="1120" w:bottom="280" w:left="180" w:right="160"/>
        </w:sectPr>
      </w:pPr>
    </w:p>
    <w:p>
      <w:pPr>
        <w:pStyle w:val="BodyText"/>
        <w:spacing w:before="74"/>
        <w:ind w:left="1522"/>
      </w:pPr>
      <w:r>
        <w:rPr>
          <w:u w:val="single"/>
        </w:rPr>
        <w:t>Tariff reprint pages</w:t>
      </w:r>
    </w:p>
    <w:p>
      <w:pPr>
        <w:pStyle w:val="BodyText"/>
        <w:spacing w:before="10"/>
        <w:rPr>
          <w:sz w:val="13"/>
        </w:rPr>
      </w:pPr>
    </w:p>
    <w:p>
      <w:pPr>
        <w:pStyle w:val="BodyText"/>
        <w:spacing w:before="94"/>
        <w:ind w:left="1522"/>
      </w:pPr>
      <w:r>
        <w:rPr>
          <w:u w:val="single"/>
        </w:rPr>
        <w:t>Schedule 3</w:t>
      </w:r>
    </w:p>
    <w:p>
      <w:pPr>
        <w:pStyle w:val="BodyText"/>
        <w:spacing w:before="7"/>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2228"/>
        <w:gridCol w:w="2232"/>
        <w:gridCol w:w="1854"/>
      </w:tblGrid>
      <w:tr>
        <w:trPr>
          <w:trHeight w:val="249" w:hRule="atLeast"/>
        </w:trPr>
        <w:tc>
          <w:tcPr>
            <w:tcW w:w="1789" w:type="dxa"/>
          </w:tcPr>
          <w:p>
            <w:pPr>
              <w:pStyle w:val="TableParagraph"/>
              <w:rPr>
                <w:sz w:val="22"/>
              </w:rPr>
            </w:pPr>
            <w:r>
              <w:rPr>
                <w:sz w:val="22"/>
              </w:rPr>
              <w:t>15/1 (R.6)</w:t>
            </w:r>
          </w:p>
        </w:tc>
        <w:tc>
          <w:tcPr>
            <w:tcW w:w="2228" w:type="dxa"/>
          </w:tcPr>
          <w:p>
            <w:pPr>
              <w:pStyle w:val="TableParagraph"/>
              <w:ind w:left="607"/>
              <w:rPr>
                <w:sz w:val="22"/>
              </w:rPr>
            </w:pPr>
            <w:r>
              <w:rPr>
                <w:sz w:val="22"/>
              </w:rPr>
              <w:t>17/1 (R.3)</w:t>
            </w:r>
          </w:p>
        </w:tc>
        <w:tc>
          <w:tcPr>
            <w:tcW w:w="2232" w:type="dxa"/>
          </w:tcPr>
          <w:p>
            <w:pPr>
              <w:pStyle w:val="TableParagraph"/>
              <w:ind w:left="577"/>
              <w:rPr>
                <w:sz w:val="22"/>
              </w:rPr>
            </w:pPr>
            <w:r>
              <w:rPr>
                <w:sz w:val="22"/>
              </w:rPr>
              <w:t>30/3 (R.8)</w:t>
            </w:r>
          </w:p>
        </w:tc>
        <w:tc>
          <w:tcPr>
            <w:tcW w:w="1854" w:type="dxa"/>
          </w:tcPr>
          <w:p>
            <w:pPr>
              <w:pStyle w:val="TableParagraph"/>
              <w:ind w:left="547"/>
              <w:rPr>
                <w:sz w:val="22"/>
              </w:rPr>
            </w:pPr>
            <w:r>
              <w:rPr>
                <w:sz w:val="22"/>
              </w:rPr>
              <w:t>30/5 (R.6)</w:t>
            </w:r>
          </w:p>
        </w:tc>
      </w:tr>
      <w:tr>
        <w:trPr>
          <w:trHeight w:val="251" w:hRule="atLeast"/>
        </w:trPr>
        <w:tc>
          <w:tcPr>
            <w:tcW w:w="1789" w:type="dxa"/>
          </w:tcPr>
          <w:p>
            <w:pPr>
              <w:pStyle w:val="TableParagraph"/>
              <w:spacing w:line="232" w:lineRule="exact"/>
              <w:rPr>
                <w:sz w:val="22"/>
              </w:rPr>
            </w:pPr>
            <w:r>
              <w:rPr>
                <w:sz w:val="22"/>
              </w:rPr>
              <w:t>37/3 (R.8)</w:t>
            </w:r>
          </w:p>
        </w:tc>
        <w:tc>
          <w:tcPr>
            <w:tcW w:w="2228" w:type="dxa"/>
          </w:tcPr>
          <w:p>
            <w:pPr>
              <w:pStyle w:val="TableParagraph"/>
              <w:spacing w:line="232" w:lineRule="exact"/>
              <w:ind w:left="607"/>
              <w:rPr>
                <w:sz w:val="22"/>
              </w:rPr>
            </w:pPr>
            <w:r>
              <w:rPr>
                <w:sz w:val="22"/>
              </w:rPr>
              <w:t>37/5 (R.6)</w:t>
            </w:r>
          </w:p>
        </w:tc>
        <w:tc>
          <w:tcPr>
            <w:tcW w:w="2232" w:type="dxa"/>
          </w:tcPr>
          <w:p>
            <w:pPr>
              <w:pStyle w:val="TableParagraph"/>
              <w:spacing w:line="232" w:lineRule="exact"/>
              <w:ind w:left="577"/>
              <w:rPr>
                <w:sz w:val="22"/>
              </w:rPr>
            </w:pPr>
            <w:r>
              <w:rPr>
                <w:sz w:val="22"/>
              </w:rPr>
              <w:t>38/3 (R.10)</w:t>
            </w:r>
          </w:p>
        </w:tc>
        <w:tc>
          <w:tcPr>
            <w:tcW w:w="1854" w:type="dxa"/>
          </w:tcPr>
          <w:p>
            <w:pPr>
              <w:pStyle w:val="TableParagraph"/>
              <w:spacing w:line="232" w:lineRule="exact"/>
              <w:ind w:left="547"/>
              <w:rPr>
                <w:sz w:val="22"/>
              </w:rPr>
            </w:pPr>
            <w:r>
              <w:rPr>
                <w:sz w:val="22"/>
              </w:rPr>
              <w:t>39/13 (R.9)</w:t>
            </w:r>
          </w:p>
        </w:tc>
      </w:tr>
      <w:tr>
        <w:trPr>
          <w:trHeight w:val="249" w:hRule="atLeast"/>
        </w:trPr>
        <w:tc>
          <w:tcPr>
            <w:tcW w:w="1789" w:type="dxa"/>
          </w:tcPr>
          <w:p>
            <w:pPr>
              <w:pStyle w:val="TableParagraph"/>
              <w:rPr>
                <w:sz w:val="22"/>
              </w:rPr>
            </w:pPr>
            <w:r>
              <w:rPr>
                <w:sz w:val="22"/>
              </w:rPr>
              <w:t>40/7 (R.9)</w:t>
            </w:r>
          </w:p>
        </w:tc>
        <w:tc>
          <w:tcPr>
            <w:tcW w:w="2228" w:type="dxa"/>
          </w:tcPr>
          <w:p>
            <w:pPr>
              <w:pStyle w:val="TableParagraph"/>
              <w:ind w:left="607"/>
              <w:rPr>
                <w:sz w:val="22"/>
              </w:rPr>
            </w:pPr>
            <w:r>
              <w:rPr>
                <w:sz w:val="22"/>
              </w:rPr>
              <w:t>57//3 (R.6)</w:t>
            </w:r>
          </w:p>
        </w:tc>
        <w:tc>
          <w:tcPr>
            <w:tcW w:w="2232" w:type="dxa"/>
          </w:tcPr>
          <w:p>
            <w:pPr>
              <w:pStyle w:val="TableParagraph"/>
              <w:ind w:left="577"/>
              <w:rPr>
                <w:sz w:val="22"/>
              </w:rPr>
            </w:pPr>
            <w:r>
              <w:rPr>
                <w:sz w:val="22"/>
              </w:rPr>
              <w:t>57/5 (R.6)</w:t>
            </w:r>
          </w:p>
        </w:tc>
        <w:tc>
          <w:tcPr>
            <w:tcW w:w="1854" w:type="dxa"/>
          </w:tcPr>
          <w:p>
            <w:pPr>
              <w:pStyle w:val="TableParagraph"/>
              <w:spacing w:line="240" w:lineRule="auto"/>
              <w:ind w:left="0"/>
              <w:rPr>
                <w:rFonts w:ascii="Times New Roman"/>
                <w:sz w:val="18"/>
              </w:rPr>
            </w:pPr>
          </w:p>
        </w:tc>
      </w:tr>
    </w:tbl>
    <w:p>
      <w:pPr>
        <w:pStyle w:val="BodyText"/>
        <w:rPr>
          <w:sz w:val="24"/>
        </w:rPr>
      </w:pPr>
    </w:p>
    <w:p>
      <w:pPr>
        <w:pStyle w:val="BodyText"/>
        <w:spacing w:before="1"/>
        <w:rPr>
          <w:sz w:val="20"/>
        </w:rPr>
      </w:pPr>
    </w:p>
    <w:p>
      <w:pPr>
        <w:pStyle w:val="BodyText"/>
        <w:ind w:left="1522"/>
      </w:pPr>
      <w:r>
        <w:rPr>
          <w:u w:val="single"/>
        </w:rPr>
        <w:t>Schedule 1 (error correction)</w:t>
      </w:r>
    </w:p>
    <w:p>
      <w:pPr>
        <w:pStyle w:val="BodyText"/>
        <w:spacing w:before="8"/>
        <w:rPr>
          <w:sz w:val="13"/>
        </w:rPr>
      </w:pPr>
    </w:p>
    <w:p>
      <w:pPr>
        <w:pStyle w:val="BodyText"/>
        <w:spacing w:before="94"/>
        <w:ind w:left="1522"/>
      </w:pPr>
      <w:r>
        <w:rPr/>
        <w:t>Sch 1/3 (R.10)</w:t>
      </w:r>
    </w:p>
    <w:p>
      <w:pPr>
        <w:pStyle w:val="BodyText"/>
        <w:rPr>
          <w:sz w:val="24"/>
        </w:rPr>
      </w:pPr>
    </w:p>
    <w:p>
      <w:pPr>
        <w:pStyle w:val="BodyText"/>
        <w:spacing w:before="2"/>
        <w:rPr>
          <w:sz w:val="20"/>
        </w:rPr>
      </w:pPr>
    </w:p>
    <w:p>
      <w:pPr>
        <w:pStyle w:val="BodyText"/>
        <w:ind w:left="1522" w:right="1736"/>
      </w:pPr>
      <w:r>
        <w:rPr/>
        <w:t>Note: Phasing rates for Schedules 5, 7 and 8 are currently in the tariff working pages, consequently no new pages will be issued.</w:t>
      </w:r>
    </w:p>
    <w:p>
      <w:pPr>
        <w:pStyle w:val="BodyText"/>
        <w:spacing w:before="11"/>
        <w:rPr>
          <w:sz w:val="21"/>
        </w:rPr>
      </w:pPr>
    </w:p>
    <w:p>
      <w:pPr>
        <w:pStyle w:val="BodyText"/>
        <w:ind w:left="1522" w:right="2030"/>
      </w:pPr>
      <w:r>
        <w:rPr/>
        <w:t>The tariff reprint pages will also be available on 12 December 2013 on the ACBPS website at </w:t>
      </w:r>
      <w:hyperlink r:id="rId8">
        <w:r>
          <w:rPr>
            <w:color w:val="0000FF"/>
            <w:u w:val="single" w:color="0000FF"/>
          </w:rPr>
          <w:t>www.customs.gov.au</w:t>
        </w:r>
        <w:r>
          <w:rPr>
            <w:color w:val="0000FF"/>
          </w:rPr>
          <w:t> </w:t>
        </w:r>
      </w:hyperlink>
      <w:r>
        <w:rPr/>
        <w:t>(Select tariff/working tariff current).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pStyle w:val="BodyText"/>
        <w:spacing w:before="93"/>
        <w:ind w:left="1522" w:right="8988"/>
      </w:pPr>
      <w:r>
        <w:rPr/>
        <w:t>(signed) Alison Neil</w:t>
      </w:r>
    </w:p>
    <w:p>
      <w:pPr>
        <w:pStyle w:val="BodyText"/>
        <w:spacing w:before="1"/>
        <w:ind w:left="1522" w:right="7900"/>
      </w:pPr>
      <w:r>
        <w:rPr/>
        <w:t>A/g National Manager Trade Branch</w:t>
      </w:r>
    </w:p>
    <w:p>
      <w:pPr>
        <w:pStyle w:val="BodyText"/>
        <w:ind w:left="1522"/>
      </w:pPr>
      <w:r>
        <w:rPr/>
        <w:t>11 December 2013</w:t>
      </w:r>
    </w:p>
    <w:sectPr>
      <w:pgSz w:w="11910" w:h="16840"/>
      <w:pgMar w:top="10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2" w:hanging="360"/>
      </w:pPr>
      <w:rPr>
        <w:rFonts w:hint="default" w:ascii="Symbol" w:hAnsi="Symbol" w:eastAsia="Symbol" w:cs="Symbol"/>
        <w:w w:val="76"/>
        <w:sz w:val="22"/>
        <w:szCs w:val="22"/>
        <w:lang w:val="en-au" w:eastAsia="en-US" w:bidi="ar-SA"/>
      </w:rPr>
    </w:lvl>
    <w:lvl w:ilvl="1">
      <w:start w:val="0"/>
      <w:numFmt w:val="bullet"/>
      <w:lvlText w:val="•"/>
      <w:lvlJc w:val="left"/>
      <w:pPr>
        <w:ind w:left="3172" w:hanging="360"/>
      </w:pPr>
      <w:rPr>
        <w:rFonts w:hint="default"/>
        <w:lang w:val="en-au" w:eastAsia="en-US" w:bidi="ar-SA"/>
      </w:rPr>
    </w:lvl>
    <w:lvl w:ilvl="2">
      <w:start w:val="0"/>
      <w:numFmt w:val="bullet"/>
      <w:lvlText w:val="•"/>
      <w:lvlJc w:val="left"/>
      <w:pPr>
        <w:ind w:left="4105" w:hanging="360"/>
      </w:pPr>
      <w:rPr>
        <w:rFonts w:hint="default"/>
        <w:lang w:val="en-au" w:eastAsia="en-US" w:bidi="ar-SA"/>
      </w:rPr>
    </w:lvl>
    <w:lvl w:ilvl="3">
      <w:start w:val="0"/>
      <w:numFmt w:val="bullet"/>
      <w:lvlText w:val="•"/>
      <w:lvlJc w:val="left"/>
      <w:pPr>
        <w:ind w:left="5037" w:hanging="360"/>
      </w:pPr>
      <w:rPr>
        <w:rFonts w:hint="default"/>
        <w:lang w:val="en-au" w:eastAsia="en-US" w:bidi="ar-SA"/>
      </w:rPr>
    </w:lvl>
    <w:lvl w:ilvl="4">
      <w:start w:val="0"/>
      <w:numFmt w:val="bullet"/>
      <w:lvlText w:val="•"/>
      <w:lvlJc w:val="left"/>
      <w:pPr>
        <w:ind w:left="5970" w:hanging="360"/>
      </w:pPr>
      <w:rPr>
        <w:rFonts w:hint="default"/>
        <w:lang w:val="en-au" w:eastAsia="en-US" w:bidi="ar-SA"/>
      </w:rPr>
    </w:lvl>
    <w:lvl w:ilvl="5">
      <w:start w:val="0"/>
      <w:numFmt w:val="bullet"/>
      <w:lvlText w:val="•"/>
      <w:lvlJc w:val="left"/>
      <w:pPr>
        <w:ind w:left="6903" w:hanging="360"/>
      </w:pPr>
      <w:rPr>
        <w:rFonts w:hint="default"/>
        <w:lang w:val="en-au" w:eastAsia="en-US" w:bidi="ar-SA"/>
      </w:rPr>
    </w:lvl>
    <w:lvl w:ilvl="6">
      <w:start w:val="0"/>
      <w:numFmt w:val="bullet"/>
      <w:lvlText w:val="•"/>
      <w:lvlJc w:val="left"/>
      <w:pPr>
        <w:ind w:left="7835" w:hanging="360"/>
      </w:pPr>
      <w:rPr>
        <w:rFonts w:hint="default"/>
        <w:lang w:val="en-au" w:eastAsia="en-US" w:bidi="ar-SA"/>
      </w:rPr>
    </w:lvl>
    <w:lvl w:ilvl="7">
      <w:start w:val="0"/>
      <w:numFmt w:val="bullet"/>
      <w:lvlText w:val="•"/>
      <w:lvlJc w:val="left"/>
      <w:pPr>
        <w:ind w:left="8768" w:hanging="360"/>
      </w:pPr>
      <w:rPr>
        <w:rFonts w:hint="default"/>
        <w:lang w:val="en-au" w:eastAsia="en-US" w:bidi="ar-SA"/>
      </w:rPr>
    </w:lvl>
    <w:lvl w:ilvl="8">
      <w:start w:val="0"/>
      <w:numFmt w:val="bullet"/>
      <w:lvlText w:val="•"/>
      <w:lvlJc w:val="left"/>
      <w:pPr>
        <w:ind w:left="9701"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spacing w:before="1"/>
      <w:ind w:left="1623" w:right="1640"/>
      <w:jc w:val="center"/>
      <w:outlineLvl w:val="1"/>
    </w:pPr>
    <w:rPr>
      <w:rFonts w:ascii="Arial" w:hAnsi="Arial" w:eastAsia="Arial" w:cs="Arial"/>
      <w:b/>
      <w:bCs/>
      <w:sz w:val="26"/>
      <w:szCs w:val="26"/>
      <w:lang w:val="en-au" w:eastAsia="en-US" w:bidi="ar-SA"/>
    </w:rPr>
  </w:style>
  <w:style w:styleId="ListParagraph" w:type="paragraph">
    <w:name w:val="List Paragraph"/>
    <w:basedOn w:val="Normal"/>
    <w:uiPriority w:val="1"/>
    <w:qFormat/>
    <w:pPr>
      <w:spacing w:before="12"/>
      <w:ind w:left="2242" w:hanging="360"/>
    </w:pPr>
    <w:rPr>
      <w:rFonts w:ascii="Arial" w:hAnsi="Arial" w:eastAsia="Arial" w:cs="Arial"/>
      <w:lang w:val="en-au" w:eastAsia="en-US" w:bidi="ar-SA"/>
    </w:rPr>
  </w:style>
  <w:style w:styleId="TableParagraph" w:type="paragraph">
    <w:name w:val="Table Paragraph"/>
    <w:basedOn w:val="Normal"/>
    <w:uiPriority w:val="1"/>
    <w:qFormat/>
    <w:pPr>
      <w:spacing w:line="229" w:lineRule="exact"/>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tariff@customs.gov.au" TargetMode="External"/><Relationship Id="rId7" Type="http://schemas.openxmlformats.org/officeDocument/2006/relationships/hyperlink" Target="mailto:international.trade@abs.gov.au" TargetMode="External"/><Relationship Id="rId8" Type="http://schemas.openxmlformats.org/officeDocument/2006/relationships/hyperlink" Target="http://www.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2020-12-09T22:59:41Z</dcterms:created>
  <dcterms:modified xsi:type="dcterms:W3CDTF">2020-12-09T22:59:41Z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2013-12-13T00:00:00Z</vt:filetime>
  </property>
  <property fmtid="{D5CDD505-2E9C-101B-9397-08002B2CF9AE}" pid="3" name="LastSaved">
    <vt:filetime>2020-12-09T00:00:00Z</vt:filetime>
  </property>
</Properties>
</file>