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2014/16</w:t>
      </w:r>
    </w:p>
    <w:p>
      <w:pPr>
        <w:pStyle w:val="Title"/>
      </w:pPr>
      <w:r>
        <w:rPr/>
        <w:t>Applications for Customs Broker Licence</w:t>
      </w:r>
    </w:p>
    <w:p>
      <w:pPr>
        <w:pStyle w:val="BodyText"/>
        <w:spacing w:before="2"/>
        <w:rPr>
          <w:b/>
          <w:sz w:val="25"/>
        </w:rPr>
      </w:pPr>
    </w:p>
    <w:p>
      <w:pPr>
        <w:pStyle w:val="BodyText"/>
        <w:spacing w:line="235" w:lineRule="auto"/>
        <w:ind w:left="1519" w:right="2094"/>
      </w:pPr>
      <w:r>
        <w:rPr/>
        <w:t>The following company and individuals have applied to the Chief Executive Officer of the Australian Customs and Border Protection Service (ACBPS) for a customs broker licence.</w:t>
      </w:r>
    </w:p>
    <w:p>
      <w:pPr>
        <w:pStyle w:val="BodyText"/>
        <w:spacing w:before="7"/>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0"/>
        <w:gridCol w:w="4528"/>
      </w:tblGrid>
      <w:tr>
        <w:trPr>
          <w:trHeight w:val="2990" w:hRule="atLeast"/>
        </w:trPr>
        <w:tc>
          <w:tcPr>
            <w:tcW w:w="4600" w:type="dxa"/>
          </w:tcPr>
          <w:p>
            <w:pPr>
              <w:pStyle w:val="TableParagraph"/>
              <w:spacing w:line="220" w:lineRule="exact"/>
              <w:rPr>
                <w:b/>
                <w:sz w:val="20"/>
              </w:rPr>
            </w:pPr>
            <w:r>
              <w:rPr>
                <w:b/>
                <w:sz w:val="20"/>
                <w:u w:val="single"/>
              </w:rPr>
              <w:t>COMPANY</w:t>
            </w:r>
          </w:p>
          <w:p>
            <w:pPr>
              <w:pStyle w:val="TableParagraph"/>
              <w:spacing w:before="6"/>
              <w:ind w:right="958"/>
              <w:rPr>
                <w:sz w:val="20"/>
              </w:rPr>
            </w:pPr>
            <w:r>
              <w:rPr>
                <w:sz w:val="20"/>
              </w:rPr>
              <w:t>L.E.B.B. Customs &amp; Forwarding Pty Ltd ABN 43 158 341 194</w:t>
            </w:r>
          </w:p>
          <w:p>
            <w:pPr>
              <w:pStyle w:val="TableParagraph"/>
              <w:rPr>
                <w:sz w:val="20"/>
              </w:rPr>
            </w:pPr>
            <w:r>
              <w:rPr>
                <w:sz w:val="20"/>
              </w:rPr>
              <w:t>68 Cooper Street</w:t>
            </w:r>
          </w:p>
          <w:p>
            <w:pPr>
              <w:pStyle w:val="TableParagraph"/>
              <w:spacing w:before="1"/>
              <w:rPr>
                <w:sz w:val="20"/>
              </w:rPr>
            </w:pPr>
            <w:r>
              <w:rPr>
                <w:sz w:val="20"/>
              </w:rPr>
              <w:t>SURRY HILLS NSW 2010</w:t>
            </w:r>
          </w:p>
          <w:p>
            <w:pPr>
              <w:pStyle w:val="TableParagraph"/>
              <w:spacing w:before="7"/>
              <w:ind w:left="0"/>
              <w:rPr>
                <w:sz w:val="19"/>
              </w:rPr>
            </w:pPr>
          </w:p>
          <w:p>
            <w:pPr>
              <w:pStyle w:val="TableParagraph"/>
              <w:spacing w:line="242" w:lineRule="auto"/>
              <w:ind w:right="1847"/>
              <w:rPr>
                <w:sz w:val="20"/>
              </w:rPr>
            </w:pPr>
            <w:r>
              <w:rPr>
                <w:b/>
                <w:sz w:val="20"/>
              </w:rPr>
              <w:t>Persons in Authority </w:t>
            </w:r>
            <w:r>
              <w:rPr>
                <w:sz w:val="20"/>
              </w:rPr>
              <w:t>ALLAN, Cameron Robert KEENAN, Paul Anthony John</w:t>
            </w:r>
          </w:p>
          <w:p>
            <w:pPr>
              <w:pStyle w:val="TableParagraph"/>
              <w:spacing w:before="7"/>
              <w:ind w:left="0"/>
              <w:rPr>
                <w:sz w:val="19"/>
              </w:rPr>
            </w:pPr>
          </w:p>
          <w:p>
            <w:pPr>
              <w:pStyle w:val="TableParagraph"/>
              <w:rPr>
                <w:b/>
                <w:sz w:val="20"/>
              </w:rPr>
            </w:pPr>
            <w:r>
              <w:rPr>
                <w:b/>
                <w:sz w:val="20"/>
              </w:rPr>
              <w:t>Nominee Broker</w:t>
            </w:r>
          </w:p>
          <w:p>
            <w:pPr>
              <w:pStyle w:val="TableParagraph"/>
              <w:spacing w:line="230" w:lineRule="atLeast"/>
              <w:ind w:right="1847"/>
              <w:rPr>
                <w:sz w:val="20"/>
              </w:rPr>
            </w:pPr>
            <w:r>
              <w:rPr>
                <w:sz w:val="20"/>
              </w:rPr>
              <w:t>ALLAN, Cameron Robert KEENAN, Paul Anthony John</w:t>
            </w:r>
          </w:p>
        </w:tc>
        <w:tc>
          <w:tcPr>
            <w:tcW w:w="4528" w:type="dxa"/>
          </w:tcPr>
          <w:p>
            <w:pPr>
              <w:pStyle w:val="TableParagraph"/>
              <w:spacing w:line="220" w:lineRule="exact"/>
              <w:rPr>
                <w:b/>
                <w:sz w:val="20"/>
              </w:rPr>
            </w:pPr>
            <w:r>
              <w:rPr>
                <w:b/>
                <w:sz w:val="20"/>
                <w:u w:val="single"/>
              </w:rPr>
              <w:t>INDIVIDUAL</w:t>
            </w:r>
          </w:p>
          <w:p>
            <w:pPr>
              <w:pStyle w:val="TableParagraph"/>
              <w:spacing w:before="6"/>
              <w:rPr>
                <w:sz w:val="20"/>
              </w:rPr>
            </w:pPr>
            <w:r>
              <w:rPr>
                <w:sz w:val="20"/>
              </w:rPr>
              <w:t>CHARAEV, Evgueni</w:t>
            </w:r>
          </w:p>
          <w:p>
            <w:pPr>
              <w:pStyle w:val="TableParagraph"/>
              <w:spacing w:before="7"/>
              <w:ind w:left="0"/>
              <w:rPr>
                <w:sz w:val="19"/>
              </w:rPr>
            </w:pPr>
          </w:p>
          <w:p>
            <w:pPr>
              <w:pStyle w:val="TableParagraph"/>
              <w:rPr>
                <w:b/>
                <w:sz w:val="20"/>
              </w:rPr>
            </w:pPr>
            <w:r>
              <w:rPr>
                <w:b/>
                <w:sz w:val="20"/>
                <w:u w:val="single"/>
              </w:rPr>
              <w:t>SOLE TRADER</w:t>
            </w:r>
          </w:p>
          <w:p>
            <w:pPr>
              <w:pStyle w:val="TableParagraph"/>
              <w:spacing w:before="5"/>
              <w:rPr>
                <w:sz w:val="20"/>
              </w:rPr>
            </w:pPr>
            <w:r>
              <w:rPr>
                <w:sz w:val="20"/>
              </w:rPr>
              <w:t>ZHAO, Qing</w:t>
            </w:r>
          </w:p>
        </w:tc>
      </w:tr>
    </w:tbl>
    <w:p>
      <w:pPr>
        <w:pStyle w:val="BodyText"/>
        <w:spacing w:before="6"/>
        <w:rPr>
          <w:sz w:val="19"/>
        </w:rPr>
      </w:pPr>
    </w:p>
    <w:p>
      <w:pPr>
        <w:pStyle w:val="BodyText"/>
        <w:ind w:left="1519" w:right="1466"/>
      </w:pPr>
      <w:r>
        <w:rPr/>
        <w:t>Any person wishing to make written representation in respect of an application should address the correspondence by Friday 18 April 2014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3"/>
        <w:gridCol w:w="4968"/>
      </w:tblGrid>
      <w:tr>
        <w:trPr>
          <w:trHeight w:val="1146" w:hRule="atLeast"/>
        </w:trPr>
        <w:tc>
          <w:tcPr>
            <w:tcW w:w="3773" w:type="dxa"/>
          </w:tcPr>
          <w:p>
            <w:pPr>
              <w:pStyle w:val="TableParagraph"/>
              <w:spacing w:line="225" w:lineRule="exact"/>
              <w:ind w:left="200"/>
              <w:rPr>
                <w:sz w:val="20"/>
              </w:rPr>
            </w:pPr>
            <w:r>
              <w:rPr>
                <w:sz w:val="20"/>
              </w:rPr>
              <w:t>Broker Licensing</w:t>
            </w:r>
          </w:p>
          <w:p>
            <w:pPr>
              <w:pStyle w:val="TableParagraph"/>
              <w:ind w:left="200" w:right="773"/>
              <w:rPr>
                <w:sz w:val="20"/>
              </w:rPr>
            </w:pPr>
            <w:r>
              <w:rPr>
                <w:sz w:val="20"/>
              </w:rPr>
              <w:t>Australian Customs and Border Protection Service</w:t>
            </w:r>
          </w:p>
          <w:p>
            <w:pPr>
              <w:pStyle w:val="TableParagraph"/>
              <w:spacing w:before="1"/>
              <w:ind w:left="200"/>
              <w:rPr>
                <w:sz w:val="20"/>
              </w:rPr>
            </w:pPr>
            <w:r>
              <w:rPr>
                <w:sz w:val="20"/>
              </w:rPr>
              <w:t>5 Constitution Avenue</w:t>
            </w:r>
          </w:p>
          <w:p>
            <w:pPr>
              <w:pStyle w:val="TableParagraph"/>
              <w:spacing w:line="210" w:lineRule="exact"/>
              <w:ind w:left="200"/>
              <w:rPr>
                <w:sz w:val="20"/>
              </w:rPr>
            </w:pPr>
            <w:r>
              <w:rPr>
                <w:sz w:val="20"/>
              </w:rPr>
              <w:t>CANBERRA ACT 2601</w:t>
            </w:r>
          </w:p>
        </w:tc>
        <w:tc>
          <w:tcPr>
            <w:tcW w:w="4968" w:type="dxa"/>
          </w:tcPr>
          <w:p>
            <w:pPr>
              <w:pStyle w:val="TableParagraph"/>
              <w:spacing w:before="7"/>
              <w:ind w:left="0"/>
              <w:rPr>
                <w:sz w:val="29"/>
              </w:rPr>
            </w:pPr>
          </w:p>
          <w:p>
            <w:pPr>
              <w:pStyle w:val="TableParagraph"/>
              <w:ind w:left="792"/>
              <w:rPr>
                <w:sz w:val="20"/>
              </w:rPr>
            </w:pPr>
            <w:r>
              <w:rPr>
                <w:sz w:val="20"/>
              </w:rPr>
              <w:t>Or email: </w:t>
            </w:r>
            <w:hyperlink r:id="rId6">
              <w:r>
                <w:rPr>
                  <w:color w:val="0000FF"/>
                  <w:sz w:val="20"/>
                  <w:u w:val="single" w:color="0000FF"/>
                </w:rPr>
                <w:t>brokers.licensing@customs.gov.au</w:t>
              </w:r>
            </w:hyperlink>
          </w:p>
        </w:tc>
      </w:tr>
    </w:tbl>
    <w:p>
      <w:pPr>
        <w:pStyle w:val="BodyText"/>
        <w:spacing w:before="7"/>
        <w:rPr>
          <w:sz w:val="19"/>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2"/>
        <w:ind w:left="1519" w:right="1992"/>
      </w:pPr>
      <w:r>
        <w:rPr/>
        <w:t>The applicant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5" w:lineRule="auto" w:before="145"/>
        <w:ind w:left="1519" w:right="8919"/>
      </w:pPr>
      <w:r>
        <w:rPr/>
        <w:t>John Arndell Director</w:t>
      </w:r>
    </w:p>
    <w:p>
      <w:pPr>
        <w:pStyle w:val="BodyText"/>
        <w:spacing w:before="2"/>
        <w:ind w:left="1519" w:right="5961"/>
      </w:pPr>
      <w:r>
        <w:rPr/>
        <w:t>Cargo Reporting Policy and Licensing Section CANBERRA ACT</w:t>
      </w:r>
    </w:p>
    <w:p>
      <w:pPr>
        <w:pStyle w:val="BodyText"/>
        <w:spacing w:line="226" w:lineRule="exact"/>
        <w:ind w:left="1519"/>
      </w:pPr>
      <w:r>
        <w:rPr/>
        <w:t>1 April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9"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2020-12-09T23:21:31Z</dcterms:created>
  <dcterms:modified xsi:type="dcterms:W3CDTF">2020-12-09T23:21:31Z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2014-04-04T00:00:00Z</vt:filetime>
  </property>
  <property fmtid="{D5CDD505-2E9C-101B-9397-08002B2CF9AE}" pid="3" name="LastSaved">
    <vt:filetime>2020-12-09T00:00:00Z</vt:filetime>
  </property>
</Properties>
</file>