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81825" cy="10858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81825" cy="108585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16"/>
        </w:rPr>
      </w:pPr>
    </w:p>
    <w:p>
      <w:pPr>
        <w:pStyle w:val="Title"/>
        <w:ind w:left="4978" w:right="1617"/>
      </w:pPr>
      <w:r>
        <w:rPr/>
        <w:pict>
          <v:rect style="position:absolute;margin-left:83.664001pt;margin-top:38.011833pt;width:428.11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2014/32</w:t>
      </w:r>
    </w:p>
    <w:p>
      <w:pPr>
        <w:pStyle w:val="BodyText"/>
        <w:spacing w:before="4"/>
        <w:rPr>
          <w:b/>
          <w:sz w:val="13"/>
        </w:rPr>
      </w:pPr>
    </w:p>
    <w:p>
      <w:pPr>
        <w:pStyle w:val="Title"/>
        <w:ind w:firstLine="0"/>
      </w:pPr>
      <w:r>
        <w:rPr/>
        <w:t>Carbon Tax Repeal changes for 1 July 2014</w:t>
      </w:r>
    </w:p>
    <w:p>
      <w:pPr>
        <w:pStyle w:val="BodyText"/>
        <w:spacing w:before="4"/>
        <w:rPr>
          <w:b/>
        </w:rPr>
      </w:pPr>
    </w:p>
    <w:p>
      <w:pPr>
        <w:pStyle w:val="BodyText"/>
        <w:ind w:left="1522" w:right="1691"/>
      </w:pPr>
      <w:r>
        <w:rPr/>
        <w:t>This Notice summarises the changes to the </w:t>
      </w:r>
      <w:r>
        <w:rPr>
          <w:i/>
        </w:rPr>
        <w:t>Customs Tariff Act 1995 </w:t>
      </w:r>
      <w:r>
        <w:rPr/>
        <w:t>(Customs Tariff) resulting from Carbon Tax Repeal legislation, operative 1 July 2014.</w:t>
      </w:r>
    </w:p>
    <w:p>
      <w:pPr>
        <w:pStyle w:val="BodyText"/>
        <w:rPr>
          <w:sz w:val="26"/>
        </w:rPr>
      </w:pPr>
    </w:p>
    <w:p>
      <w:pPr>
        <w:pStyle w:val="BodyText"/>
        <w:rPr>
          <w:sz w:val="22"/>
        </w:rPr>
      </w:pPr>
    </w:p>
    <w:p>
      <w:pPr>
        <w:pStyle w:val="BodyText"/>
        <w:ind w:left="1522"/>
      </w:pPr>
      <w:r>
        <w:rPr>
          <w:u w:val="single"/>
        </w:rPr>
        <w:t>Aviation Fuel</w:t>
      </w:r>
    </w:p>
    <w:p>
      <w:pPr>
        <w:pStyle w:val="BodyText"/>
        <w:spacing w:before="9"/>
        <w:rPr>
          <w:sz w:val="15"/>
        </w:rPr>
      </w:pPr>
    </w:p>
    <w:p>
      <w:pPr>
        <w:pStyle w:val="BodyText"/>
        <w:spacing w:before="93"/>
        <w:ind w:left="1522" w:right="1664"/>
      </w:pPr>
      <w:r>
        <w:rPr/>
        <w:t>The </w:t>
      </w:r>
      <w:r>
        <w:rPr>
          <w:i/>
        </w:rPr>
        <w:t>Customs Tariff Amendment (Carbon Tax Repeal) Act 2014 </w:t>
      </w:r>
      <w:r>
        <w:rPr/>
        <w:t>(the Act) received Royal Assent on 17 July 2014. This Act amends the Customs Tariff to remove the carbon tax imposed on excise-equivalent duty applied on imported aviation gasoline and aviation kerosene (aviation fuels).</w:t>
      </w:r>
    </w:p>
    <w:p>
      <w:pPr>
        <w:pStyle w:val="BodyText"/>
        <w:spacing w:before="2"/>
      </w:pPr>
    </w:p>
    <w:p>
      <w:pPr>
        <w:pStyle w:val="BodyText"/>
        <w:ind w:left="1522" w:right="1889"/>
      </w:pPr>
      <w:r>
        <w:rPr/>
        <w:t>Prior to the repeal of the carbon tax the duty applied to aviation fuel was a designated levy to fund the Civil Aviation Safety Authority (CASA) plus an aviation fuel carbon component. The new legislated rates remove the carbon tax component. The CASA component is not affected.</w:t>
      </w:r>
    </w:p>
    <w:p>
      <w:pPr>
        <w:pStyle w:val="BodyText"/>
      </w:pPr>
    </w:p>
    <w:p>
      <w:pPr>
        <w:pStyle w:val="BodyText"/>
        <w:spacing w:before="1"/>
        <w:ind w:left="1522" w:right="1676"/>
      </w:pPr>
      <w:r>
        <w:rPr/>
        <w:t>The Act alters rates of duty for aviation gasoline and kerosene as set out in the Table below. The adjusted rates of duty apply to the listed subheadings in Schedule 3 and relevant items in Schedules 5 to 9 of the Customs Tariff, applicable to Australia’s free trade agreements.</w:t>
      </w:r>
    </w:p>
    <w:p>
      <w:pPr>
        <w:pStyle w:val="BodyText"/>
        <w:rPr>
          <w:sz w:val="20"/>
        </w:rPr>
      </w:pPr>
    </w:p>
    <w:p>
      <w:pPr>
        <w:pStyle w:val="BodyText"/>
        <w:spacing w:before="4"/>
        <w:rPr>
          <w:sz w:val="28"/>
        </w:rPr>
      </w:pPr>
    </w:p>
    <w:tbl>
      <w:tblPr>
        <w:tblW w:w="0" w:type="auto"/>
        <w:jc w:val="left"/>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702"/>
        <w:gridCol w:w="2410"/>
        <w:gridCol w:w="1985"/>
      </w:tblGrid>
      <w:tr>
        <w:trPr>
          <w:trHeight w:val="760" w:hRule="atLeast"/>
        </w:trPr>
        <w:tc>
          <w:tcPr>
            <w:tcW w:w="2093" w:type="dxa"/>
          </w:tcPr>
          <w:p>
            <w:pPr>
              <w:pStyle w:val="TableParagraph"/>
              <w:spacing w:line="248" w:lineRule="exact"/>
              <w:rPr>
                <w:b/>
                <w:sz w:val="22"/>
              </w:rPr>
            </w:pPr>
            <w:r>
              <w:rPr>
                <w:b/>
                <w:sz w:val="22"/>
              </w:rPr>
              <w:t>Goods</w:t>
            </w:r>
          </w:p>
        </w:tc>
        <w:tc>
          <w:tcPr>
            <w:tcW w:w="1702" w:type="dxa"/>
          </w:tcPr>
          <w:p>
            <w:pPr>
              <w:pStyle w:val="TableParagraph"/>
              <w:spacing w:line="248" w:lineRule="exact"/>
              <w:rPr>
                <w:b/>
                <w:sz w:val="22"/>
              </w:rPr>
            </w:pPr>
            <w:r>
              <w:rPr>
                <w:b/>
                <w:sz w:val="22"/>
              </w:rPr>
              <w:t>Subheading</w:t>
            </w:r>
          </w:p>
        </w:tc>
        <w:tc>
          <w:tcPr>
            <w:tcW w:w="2410" w:type="dxa"/>
          </w:tcPr>
          <w:p>
            <w:pPr>
              <w:pStyle w:val="TableParagraph"/>
              <w:spacing w:line="242" w:lineRule="auto"/>
              <w:ind w:right="610"/>
              <w:rPr>
                <w:b/>
                <w:sz w:val="22"/>
              </w:rPr>
            </w:pPr>
            <w:r>
              <w:rPr>
                <w:b/>
                <w:sz w:val="22"/>
              </w:rPr>
              <w:t>Current Excise- Equivalent Duty</w:t>
            </w:r>
          </w:p>
        </w:tc>
        <w:tc>
          <w:tcPr>
            <w:tcW w:w="1985" w:type="dxa"/>
          </w:tcPr>
          <w:p>
            <w:pPr>
              <w:pStyle w:val="TableParagraph"/>
              <w:spacing w:line="248" w:lineRule="exact"/>
              <w:rPr>
                <w:b/>
                <w:sz w:val="22"/>
              </w:rPr>
            </w:pPr>
            <w:r>
              <w:rPr>
                <w:b/>
                <w:sz w:val="22"/>
              </w:rPr>
              <w:t>New Excise-</w:t>
            </w:r>
          </w:p>
          <w:p>
            <w:pPr>
              <w:pStyle w:val="TableParagraph"/>
              <w:spacing w:line="252" w:lineRule="exact" w:before="6"/>
              <w:ind w:right="185"/>
              <w:rPr>
                <w:b/>
                <w:sz w:val="22"/>
              </w:rPr>
            </w:pPr>
            <w:r>
              <w:rPr>
                <w:b/>
                <w:sz w:val="22"/>
              </w:rPr>
              <w:t>Equivalent Duty 1 July 2014</w:t>
            </w:r>
          </w:p>
        </w:tc>
      </w:tr>
      <w:tr>
        <w:trPr>
          <w:trHeight w:val="1010" w:hRule="atLeast"/>
        </w:trPr>
        <w:tc>
          <w:tcPr>
            <w:tcW w:w="2093" w:type="dxa"/>
          </w:tcPr>
          <w:p>
            <w:pPr>
              <w:pStyle w:val="TableParagraph"/>
              <w:ind w:right="341"/>
              <w:rPr>
                <w:sz w:val="22"/>
              </w:rPr>
            </w:pPr>
            <w:r>
              <w:rPr>
                <w:sz w:val="22"/>
              </w:rPr>
              <w:t>Gasoline for use as fuel in aircraft</w:t>
            </w:r>
          </w:p>
        </w:tc>
        <w:tc>
          <w:tcPr>
            <w:tcW w:w="1702" w:type="dxa"/>
          </w:tcPr>
          <w:p>
            <w:pPr>
              <w:pStyle w:val="TableParagraph"/>
              <w:spacing w:line="250" w:lineRule="exact"/>
              <w:rPr>
                <w:sz w:val="22"/>
              </w:rPr>
            </w:pPr>
            <w:r>
              <w:rPr>
                <w:sz w:val="22"/>
              </w:rPr>
              <w:t>2710.12.61</w:t>
            </w:r>
          </w:p>
          <w:p>
            <w:pPr>
              <w:pStyle w:val="TableParagraph"/>
              <w:spacing w:line="252" w:lineRule="exact"/>
              <w:rPr>
                <w:sz w:val="22"/>
              </w:rPr>
            </w:pPr>
            <w:r>
              <w:rPr>
                <w:sz w:val="22"/>
              </w:rPr>
              <w:t>2710.91.61</w:t>
            </w:r>
          </w:p>
          <w:p>
            <w:pPr>
              <w:pStyle w:val="TableParagraph"/>
              <w:spacing w:before="1"/>
              <w:rPr>
                <w:sz w:val="22"/>
              </w:rPr>
            </w:pPr>
            <w:r>
              <w:rPr>
                <w:sz w:val="22"/>
              </w:rPr>
              <w:t>2710.99.61</w:t>
            </w:r>
          </w:p>
        </w:tc>
        <w:tc>
          <w:tcPr>
            <w:tcW w:w="2410" w:type="dxa"/>
          </w:tcPr>
          <w:p>
            <w:pPr>
              <w:pStyle w:val="TableParagraph"/>
              <w:spacing w:line="250" w:lineRule="exact"/>
              <w:rPr>
                <w:sz w:val="22"/>
              </w:rPr>
            </w:pPr>
            <w:r>
              <w:rPr>
                <w:sz w:val="22"/>
              </w:rPr>
              <w:t>$0.09144/L</w:t>
            </w:r>
          </w:p>
          <w:p>
            <w:pPr>
              <w:pStyle w:val="TableParagraph"/>
              <w:rPr>
                <w:sz w:val="22"/>
              </w:rPr>
            </w:pPr>
            <w:r>
              <w:rPr>
                <w:sz w:val="22"/>
              </w:rPr>
              <w:t>($0.05588 carbon component rate)</w:t>
            </w:r>
          </w:p>
        </w:tc>
        <w:tc>
          <w:tcPr>
            <w:tcW w:w="1985" w:type="dxa"/>
          </w:tcPr>
          <w:p>
            <w:pPr>
              <w:pStyle w:val="TableParagraph"/>
              <w:spacing w:before="8"/>
              <w:ind w:left="0"/>
              <w:rPr>
                <w:sz w:val="32"/>
              </w:rPr>
            </w:pPr>
          </w:p>
          <w:p>
            <w:pPr>
              <w:pStyle w:val="TableParagraph"/>
              <w:ind w:left="0" w:right="427"/>
              <w:jc w:val="right"/>
              <w:rPr>
                <w:sz w:val="22"/>
              </w:rPr>
            </w:pPr>
            <w:r>
              <w:rPr>
                <w:sz w:val="22"/>
              </w:rPr>
              <w:t>$0.03556/L</w:t>
            </w:r>
          </w:p>
        </w:tc>
      </w:tr>
      <w:tr>
        <w:trPr>
          <w:trHeight w:val="1013" w:hRule="atLeast"/>
        </w:trPr>
        <w:tc>
          <w:tcPr>
            <w:tcW w:w="2093" w:type="dxa"/>
          </w:tcPr>
          <w:p>
            <w:pPr>
              <w:pStyle w:val="TableParagraph"/>
              <w:ind w:right="280"/>
              <w:rPr>
                <w:sz w:val="22"/>
              </w:rPr>
            </w:pPr>
            <w:r>
              <w:rPr>
                <w:sz w:val="22"/>
              </w:rPr>
              <w:t>Kerosene for use as fuel in aircraft</w:t>
            </w:r>
          </w:p>
        </w:tc>
        <w:tc>
          <w:tcPr>
            <w:tcW w:w="1702" w:type="dxa"/>
          </w:tcPr>
          <w:p>
            <w:pPr>
              <w:pStyle w:val="TableParagraph"/>
              <w:spacing w:line="253" w:lineRule="exact"/>
              <w:rPr>
                <w:sz w:val="22"/>
              </w:rPr>
            </w:pPr>
            <w:r>
              <w:rPr>
                <w:sz w:val="22"/>
              </w:rPr>
              <w:t>2710.19.40</w:t>
            </w:r>
          </w:p>
          <w:p>
            <w:pPr>
              <w:pStyle w:val="TableParagraph"/>
              <w:spacing w:line="252" w:lineRule="exact"/>
              <w:rPr>
                <w:sz w:val="22"/>
              </w:rPr>
            </w:pPr>
            <w:r>
              <w:rPr>
                <w:sz w:val="22"/>
              </w:rPr>
              <w:t>2710.91.40</w:t>
            </w:r>
          </w:p>
          <w:p>
            <w:pPr>
              <w:pStyle w:val="TableParagraph"/>
              <w:spacing w:line="252" w:lineRule="exact"/>
              <w:rPr>
                <w:sz w:val="22"/>
              </w:rPr>
            </w:pPr>
            <w:r>
              <w:rPr>
                <w:sz w:val="22"/>
              </w:rPr>
              <w:t>2710.99.40</w:t>
            </w:r>
          </w:p>
        </w:tc>
        <w:tc>
          <w:tcPr>
            <w:tcW w:w="2410" w:type="dxa"/>
          </w:tcPr>
          <w:p>
            <w:pPr>
              <w:pStyle w:val="TableParagraph"/>
              <w:spacing w:line="253" w:lineRule="exact"/>
              <w:rPr>
                <w:sz w:val="22"/>
              </w:rPr>
            </w:pPr>
            <w:r>
              <w:rPr>
                <w:sz w:val="22"/>
              </w:rPr>
              <w:t>$0.1016/L</w:t>
            </w:r>
          </w:p>
          <w:p>
            <w:pPr>
              <w:pStyle w:val="TableParagraph"/>
              <w:ind w:right="548"/>
              <w:rPr>
                <w:sz w:val="22"/>
              </w:rPr>
            </w:pPr>
            <w:r>
              <w:rPr>
                <w:sz w:val="22"/>
              </w:rPr>
              <w:t>($0.06604 carbon component rate)</w:t>
            </w:r>
          </w:p>
        </w:tc>
        <w:tc>
          <w:tcPr>
            <w:tcW w:w="1985" w:type="dxa"/>
          </w:tcPr>
          <w:p>
            <w:pPr>
              <w:pStyle w:val="TableParagraph"/>
              <w:ind w:left="0"/>
              <w:rPr>
                <w:sz w:val="33"/>
              </w:rPr>
            </w:pPr>
          </w:p>
          <w:p>
            <w:pPr>
              <w:pStyle w:val="TableParagraph"/>
              <w:ind w:left="0" w:right="427"/>
              <w:jc w:val="right"/>
              <w:rPr>
                <w:sz w:val="22"/>
              </w:rPr>
            </w:pPr>
            <w:r>
              <w:rPr>
                <w:sz w:val="22"/>
              </w:rPr>
              <w:t>$0.03556/L</w:t>
            </w:r>
          </w:p>
        </w:tc>
      </w:tr>
    </w:tbl>
    <w:p>
      <w:pPr>
        <w:spacing w:after="0"/>
        <w:jc w:val="right"/>
        <w:rPr>
          <w:sz w:val="22"/>
        </w:rPr>
        <w:sectPr>
          <w:type w:val="continuous"/>
          <w:pgSz w:w="11910" w:h="16840"/>
          <w:pgMar w:top="1120" w:bottom="280" w:left="180" w:right="160"/>
        </w:sectPr>
      </w:pPr>
    </w:p>
    <w:p>
      <w:pPr>
        <w:spacing w:line="242" w:lineRule="auto" w:before="63"/>
        <w:ind w:left="1522" w:right="2264" w:firstLine="0"/>
        <w:jc w:val="left"/>
        <w:rPr>
          <w:sz w:val="24"/>
        </w:rPr>
      </w:pPr>
      <w:r>
        <w:rPr>
          <w:sz w:val="24"/>
          <w:u w:val="single"/>
        </w:rPr>
        <w:t>Amendment to the </w:t>
      </w:r>
      <w:r>
        <w:rPr>
          <w:i/>
          <w:sz w:val="24"/>
          <w:u w:val="single"/>
        </w:rPr>
        <w:t>Customs Regulations 1926 </w:t>
      </w:r>
      <w:r>
        <w:rPr>
          <w:sz w:val="24"/>
          <w:u w:val="single"/>
        </w:rPr>
        <w:t>(Customs Regulations) for</w:t>
      </w:r>
      <w:r>
        <w:rPr>
          <w:sz w:val="24"/>
        </w:rPr>
        <w:t> </w:t>
      </w:r>
      <w:r>
        <w:rPr>
          <w:sz w:val="24"/>
          <w:u w:val="single"/>
        </w:rPr>
        <w:t>carbon tax refunds</w:t>
      </w:r>
    </w:p>
    <w:p>
      <w:pPr>
        <w:pStyle w:val="BodyText"/>
        <w:spacing w:before="9"/>
        <w:rPr>
          <w:sz w:val="15"/>
        </w:rPr>
      </w:pPr>
    </w:p>
    <w:p>
      <w:pPr>
        <w:pStyle w:val="BodyText"/>
        <w:spacing w:before="92"/>
        <w:ind w:left="1522" w:right="1703"/>
      </w:pPr>
      <w:r>
        <w:rPr/>
        <w:t>A new refund circumstance, subregulation 126(1)(zc), has been inserted in the Customs Regulations to allow refunds of the carbon tax overpaid on aviation fuel, following the repeal of the tax from 1 July 2014.</w:t>
      </w:r>
    </w:p>
    <w:p>
      <w:pPr>
        <w:pStyle w:val="BodyText"/>
      </w:pPr>
    </w:p>
    <w:p>
      <w:pPr>
        <w:pStyle w:val="BodyText"/>
        <w:ind w:left="1522" w:right="1716"/>
      </w:pPr>
      <w:r>
        <w:rPr/>
        <w:t>This Regulation will allow for the refund of duty overpaid in the period between 1 July and 17 July 2014 when the Act received Royal Assent.</w:t>
      </w:r>
    </w:p>
    <w:p>
      <w:pPr>
        <w:pStyle w:val="BodyText"/>
        <w:spacing w:line="640" w:lineRule="atLeast" w:before="188"/>
        <w:ind w:left="3058" w:right="1890" w:hanging="1536"/>
      </w:pPr>
      <w:r>
        <w:rPr/>
        <w:t>Please direct any inquiries concerning these matters to the following contact: Manager Trade Policy and Negotiation</w:t>
      </w:r>
    </w:p>
    <w:p>
      <w:pPr>
        <w:pStyle w:val="BodyText"/>
        <w:spacing w:before="6"/>
        <w:ind w:left="3058" w:right="3142"/>
      </w:pPr>
      <w:r>
        <w:rPr/>
        <w:t>Australian Customs and Border Protection Service 5 Constitution Avenue</w:t>
      </w:r>
    </w:p>
    <w:p>
      <w:pPr>
        <w:pStyle w:val="BodyText"/>
        <w:spacing w:before="1"/>
        <w:ind w:left="3058"/>
      </w:pPr>
      <w:r>
        <w:rPr/>
        <w:t>CANBERRA ACT 2601</w:t>
      </w:r>
    </w:p>
    <w:p>
      <w:pPr>
        <w:pStyle w:val="BodyText"/>
        <w:ind w:left="3058"/>
      </w:pPr>
      <w:r>
        <w:rPr/>
        <w:t>Ph: (02) 6275 6542</w:t>
      </w:r>
    </w:p>
    <w:p>
      <w:pPr>
        <w:pStyle w:val="BodyText"/>
        <w:spacing w:before="11"/>
        <w:rPr>
          <w:sz w:val="23"/>
        </w:rPr>
      </w:pPr>
    </w:p>
    <w:p>
      <w:pPr>
        <w:pStyle w:val="BodyText"/>
        <w:ind w:left="1522"/>
      </w:pPr>
      <w:r>
        <w:rPr/>
        <w:t>Customs Tariff pages to be issued in connection with these changes are:</w:t>
      </w:r>
    </w:p>
    <w:p>
      <w:pPr>
        <w:pStyle w:val="BodyText"/>
        <w:spacing w:before="8"/>
      </w:pPr>
    </w:p>
    <w:tbl>
      <w:tblPr>
        <w:tblW w:w="0" w:type="auto"/>
        <w:jc w:val="left"/>
        <w:tblInd w:w="1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638"/>
        <w:gridCol w:w="2681"/>
      </w:tblGrid>
      <w:tr>
        <w:trPr>
          <w:trHeight w:val="686" w:hRule="atLeast"/>
        </w:trPr>
        <w:tc>
          <w:tcPr>
            <w:tcW w:w="2682" w:type="dxa"/>
          </w:tcPr>
          <w:p>
            <w:pPr>
              <w:pStyle w:val="TableParagraph"/>
              <w:ind w:left="50" w:right="37"/>
              <w:rPr>
                <w:sz w:val="24"/>
              </w:rPr>
            </w:pPr>
            <w:r>
              <w:rPr>
                <w:sz w:val="24"/>
                <w:u w:val="single"/>
              </w:rPr>
              <w:t>Customs Tariff Act 1995</w:t>
            </w:r>
            <w:r>
              <w:rPr>
                <w:sz w:val="24"/>
              </w:rPr>
              <w:t> 35 – Blank (R.1)</w:t>
            </w:r>
          </w:p>
        </w:tc>
        <w:tc>
          <w:tcPr>
            <w:tcW w:w="5319" w:type="dxa"/>
            <w:gridSpan w:val="2"/>
            <w:vMerge w:val="restart"/>
          </w:tcPr>
          <w:p>
            <w:pPr>
              <w:pStyle w:val="TableParagraph"/>
              <w:ind w:left="0"/>
              <w:rPr>
                <w:rFonts w:ascii="Times New Roman"/>
                <w:sz w:val="24"/>
              </w:rPr>
            </w:pPr>
          </w:p>
        </w:tc>
      </w:tr>
      <w:tr>
        <w:trPr>
          <w:trHeight w:val="434" w:hRule="atLeast"/>
        </w:trPr>
        <w:tc>
          <w:tcPr>
            <w:tcW w:w="2682" w:type="dxa"/>
          </w:tcPr>
          <w:p>
            <w:pPr>
              <w:pStyle w:val="TableParagraph"/>
              <w:spacing w:before="134"/>
              <w:ind w:left="50"/>
              <w:rPr>
                <w:sz w:val="24"/>
              </w:rPr>
            </w:pPr>
            <w:r>
              <w:rPr>
                <w:sz w:val="24"/>
                <w:u w:val="single"/>
              </w:rPr>
              <w:t>Schedule 3</w:t>
            </w:r>
          </w:p>
        </w:tc>
        <w:tc>
          <w:tcPr>
            <w:tcW w:w="5319" w:type="dxa"/>
            <w:gridSpan w:val="2"/>
            <w:vMerge/>
            <w:tcBorders>
              <w:top w:val="nil"/>
            </w:tcBorders>
          </w:tcPr>
          <w:p>
            <w:pPr>
              <w:rPr>
                <w:sz w:val="2"/>
                <w:szCs w:val="2"/>
              </w:rPr>
            </w:pPr>
          </w:p>
        </w:tc>
      </w:tr>
      <w:tr>
        <w:trPr>
          <w:trHeight w:val="296" w:hRule="atLeast"/>
        </w:trPr>
        <w:tc>
          <w:tcPr>
            <w:tcW w:w="2682" w:type="dxa"/>
          </w:tcPr>
          <w:p>
            <w:pPr>
              <w:pStyle w:val="TableParagraph"/>
              <w:spacing w:line="260" w:lineRule="exact" w:before="16"/>
              <w:ind w:left="50"/>
              <w:rPr>
                <w:sz w:val="24"/>
              </w:rPr>
            </w:pPr>
            <w:r>
              <w:rPr>
                <w:sz w:val="24"/>
              </w:rPr>
              <w:t>27/7 - 27/8 (R.27)</w:t>
            </w:r>
          </w:p>
        </w:tc>
        <w:tc>
          <w:tcPr>
            <w:tcW w:w="2638" w:type="dxa"/>
          </w:tcPr>
          <w:p>
            <w:pPr>
              <w:pStyle w:val="TableParagraph"/>
              <w:spacing w:line="260" w:lineRule="exact" w:before="16"/>
              <w:ind w:left="58"/>
              <w:rPr>
                <w:sz w:val="24"/>
              </w:rPr>
            </w:pPr>
            <w:r>
              <w:rPr>
                <w:sz w:val="24"/>
              </w:rPr>
              <w:t>27/11 - 27/12 (R.13)</w:t>
            </w:r>
          </w:p>
        </w:tc>
        <w:tc>
          <w:tcPr>
            <w:tcW w:w="2681" w:type="dxa"/>
          </w:tcPr>
          <w:p>
            <w:pPr>
              <w:pStyle w:val="TableParagraph"/>
              <w:spacing w:line="260" w:lineRule="exact" w:before="16"/>
              <w:ind w:left="426"/>
              <w:rPr>
                <w:sz w:val="24"/>
              </w:rPr>
            </w:pPr>
            <w:r>
              <w:rPr>
                <w:sz w:val="24"/>
              </w:rPr>
              <w:t>27/13 – 27/14 (R.13)</w:t>
            </w:r>
          </w:p>
        </w:tc>
      </w:tr>
      <w:tr>
        <w:trPr>
          <w:trHeight w:val="426" w:hRule="atLeast"/>
        </w:trPr>
        <w:tc>
          <w:tcPr>
            <w:tcW w:w="2682" w:type="dxa"/>
          </w:tcPr>
          <w:p>
            <w:pPr>
              <w:pStyle w:val="TableParagraph"/>
              <w:spacing w:line="272" w:lineRule="exact"/>
              <w:ind w:left="50"/>
              <w:rPr>
                <w:sz w:val="24"/>
              </w:rPr>
            </w:pPr>
            <w:r>
              <w:rPr>
                <w:sz w:val="24"/>
              </w:rPr>
              <w:t>27/15-27/16 (R.8)</w:t>
            </w:r>
          </w:p>
        </w:tc>
        <w:tc>
          <w:tcPr>
            <w:tcW w:w="2638" w:type="dxa"/>
          </w:tcPr>
          <w:p>
            <w:pPr>
              <w:pStyle w:val="TableParagraph"/>
              <w:spacing w:line="272" w:lineRule="exact"/>
              <w:ind w:left="58"/>
              <w:rPr>
                <w:sz w:val="24"/>
              </w:rPr>
            </w:pPr>
            <w:r>
              <w:rPr>
                <w:sz w:val="24"/>
              </w:rPr>
              <w:t>27/17 - 27/18 (R.8)</w:t>
            </w:r>
          </w:p>
        </w:tc>
        <w:tc>
          <w:tcPr>
            <w:tcW w:w="2681" w:type="dxa"/>
          </w:tcPr>
          <w:p>
            <w:pPr>
              <w:pStyle w:val="TableParagraph"/>
              <w:spacing w:line="272" w:lineRule="exact"/>
              <w:ind w:left="426"/>
              <w:rPr>
                <w:sz w:val="24"/>
              </w:rPr>
            </w:pPr>
            <w:r>
              <w:rPr>
                <w:sz w:val="24"/>
              </w:rPr>
              <w:t>27/19-27/20 (R.7)</w:t>
            </w:r>
          </w:p>
        </w:tc>
      </w:tr>
      <w:tr>
        <w:trPr>
          <w:trHeight w:val="437" w:hRule="atLeast"/>
        </w:trPr>
        <w:tc>
          <w:tcPr>
            <w:tcW w:w="2682" w:type="dxa"/>
          </w:tcPr>
          <w:p>
            <w:pPr>
              <w:pStyle w:val="TableParagraph"/>
              <w:spacing w:line="271" w:lineRule="exact" w:before="146"/>
              <w:ind w:left="50"/>
              <w:rPr>
                <w:sz w:val="24"/>
              </w:rPr>
            </w:pPr>
            <w:r>
              <w:rPr>
                <w:sz w:val="24"/>
                <w:u w:val="single"/>
              </w:rPr>
              <w:t>Schedule 5</w:t>
            </w:r>
          </w:p>
        </w:tc>
        <w:tc>
          <w:tcPr>
            <w:tcW w:w="2638" w:type="dxa"/>
          </w:tcPr>
          <w:p>
            <w:pPr>
              <w:pStyle w:val="TableParagraph"/>
              <w:spacing w:line="271" w:lineRule="exact" w:before="146"/>
              <w:ind w:left="58"/>
              <w:rPr>
                <w:sz w:val="24"/>
              </w:rPr>
            </w:pPr>
            <w:r>
              <w:rPr>
                <w:sz w:val="24"/>
                <w:u w:val="single"/>
              </w:rPr>
              <w:t>Schedule 6</w:t>
            </w:r>
          </w:p>
        </w:tc>
        <w:tc>
          <w:tcPr>
            <w:tcW w:w="2681" w:type="dxa"/>
          </w:tcPr>
          <w:p>
            <w:pPr>
              <w:pStyle w:val="TableParagraph"/>
              <w:spacing w:line="271" w:lineRule="exact" w:before="146"/>
              <w:ind w:left="426"/>
              <w:rPr>
                <w:sz w:val="24"/>
              </w:rPr>
            </w:pPr>
            <w:r>
              <w:rPr>
                <w:sz w:val="24"/>
                <w:u w:val="single"/>
              </w:rPr>
              <w:t>Schedule 7</w:t>
            </w:r>
          </w:p>
        </w:tc>
      </w:tr>
      <w:tr>
        <w:trPr>
          <w:trHeight w:val="286" w:hRule="atLeast"/>
        </w:trPr>
        <w:tc>
          <w:tcPr>
            <w:tcW w:w="2682" w:type="dxa"/>
          </w:tcPr>
          <w:p>
            <w:pPr>
              <w:pStyle w:val="TableParagraph"/>
              <w:spacing w:line="260" w:lineRule="exact" w:before="7"/>
              <w:ind w:left="50"/>
              <w:rPr>
                <w:sz w:val="24"/>
              </w:rPr>
            </w:pPr>
            <w:r>
              <w:rPr>
                <w:sz w:val="24"/>
              </w:rPr>
              <w:t>5/3 - 5/4 (R.34)</w:t>
            </w:r>
          </w:p>
        </w:tc>
        <w:tc>
          <w:tcPr>
            <w:tcW w:w="2638" w:type="dxa"/>
          </w:tcPr>
          <w:p>
            <w:pPr>
              <w:pStyle w:val="TableParagraph"/>
              <w:spacing w:line="260" w:lineRule="exact" w:before="7"/>
              <w:ind w:left="58"/>
              <w:rPr>
                <w:sz w:val="24"/>
              </w:rPr>
            </w:pPr>
            <w:r>
              <w:rPr>
                <w:sz w:val="24"/>
              </w:rPr>
              <w:t>6/3 - 6/4 (R.33)</w:t>
            </w:r>
          </w:p>
        </w:tc>
        <w:tc>
          <w:tcPr>
            <w:tcW w:w="2681" w:type="dxa"/>
          </w:tcPr>
          <w:p>
            <w:pPr>
              <w:pStyle w:val="TableParagraph"/>
              <w:spacing w:line="260" w:lineRule="exact" w:before="7"/>
              <w:ind w:left="426"/>
              <w:rPr>
                <w:sz w:val="24"/>
              </w:rPr>
            </w:pPr>
            <w:r>
              <w:rPr>
                <w:sz w:val="24"/>
              </w:rPr>
              <w:t>7/5 - 7/6 (R.7)</w:t>
            </w:r>
          </w:p>
        </w:tc>
      </w:tr>
      <w:tr>
        <w:trPr>
          <w:trHeight w:val="413" w:hRule="atLeast"/>
        </w:trPr>
        <w:tc>
          <w:tcPr>
            <w:tcW w:w="2682" w:type="dxa"/>
          </w:tcPr>
          <w:p>
            <w:pPr>
              <w:pStyle w:val="TableParagraph"/>
              <w:spacing w:line="272" w:lineRule="exact"/>
              <w:ind w:left="50"/>
              <w:rPr>
                <w:sz w:val="24"/>
              </w:rPr>
            </w:pPr>
            <w:r>
              <w:rPr>
                <w:sz w:val="24"/>
              </w:rPr>
              <w:t>5/5 - 5/6 (R.10)</w:t>
            </w:r>
          </w:p>
        </w:tc>
        <w:tc>
          <w:tcPr>
            <w:tcW w:w="2638" w:type="dxa"/>
          </w:tcPr>
          <w:p>
            <w:pPr>
              <w:pStyle w:val="TableParagraph"/>
              <w:spacing w:line="272" w:lineRule="exact"/>
              <w:ind w:left="58"/>
              <w:rPr>
                <w:sz w:val="24"/>
              </w:rPr>
            </w:pPr>
            <w:r>
              <w:rPr>
                <w:sz w:val="24"/>
              </w:rPr>
              <w:t>6/5 - 6/6 (R.10)</w:t>
            </w:r>
          </w:p>
        </w:tc>
        <w:tc>
          <w:tcPr>
            <w:tcW w:w="2681" w:type="dxa"/>
          </w:tcPr>
          <w:p>
            <w:pPr>
              <w:pStyle w:val="TableParagraph"/>
              <w:spacing w:line="272" w:lineRule="exact"/>
              <w:ind w:left="426"/>
              <w:rPr>
                <w:sz w:val="24"/>
              </w:rPr>
            </w:pPr>
            <w:r>
              <w:rPr>
                <w:sz w:val="24"/>
              </w:rPr>
              <w:t>7/6A - 7/6B (R.5)</w:t>
            </w:r>
          </w:p>
        </w:tc>
      </w:tr>
      <w:tr>
        <w:trPr>
          <w:trHeight w:val="424" w:hRule="atLeast"/>
        </w:trPr>
        <w:tc>
          <w:tcPr>
            <w:tcW w:w="2682" w:type="dxa"/>
          </w:tcPr>
          <w:p>
            <w:pPr>
              <w:pStyle w:val="TableParagraph"/>
              <w:spacing w:line="271" w:lineRule="exact" w:before="134"/>
              <w:ind w:left="50"/>
              <w:rPr>
                <w:sz w:val="24"/>
              </w:rPr>
            </w:pPr>
            <w:r>
              <w:rPr>
                <w:sz w:val="24"/>
                <w:u w:val="single"/>
              </w:rPr>
              <w:t>Schedule 8</w:t>
            </w:r>
          </w:p>
        </w:tc>
        <w:tc>
          <w:tcPr>
            <w:tcW w:w="2638" w:type="dxa"/>
          </w:tcPr>
          <w:p>
            <w:pPr>
              <w:pStyle w:val="TableParagraph"/>
              <w:spacing w:line="271" w:lineRule="exact" w:before="134"/>
              <w:ind w:left="58"/>
              <w:rPr>
                <w:sz w:val="24"/>
              </w:rPr>
            </w:pPr>
            <w:r>
              <w:rPr>
                <w:sz w:val="24"/>
                <w:u w:val="single"/>
              </w:rPr>
              <w:t>Schedule 9</w:t>
            </w:r>
          </w:p>
        </w:tc>
        <w:tc>
          <w:tcPr>
            <w:tcW w:w="2681" w:type="dxa"/>
          </w:tcPr>
          <w:p>
            <w:pPr>
              <w:pStyle w:val="TableParagraph"/>
              <w:ind w:left="0"/>
              <w:rPr>
                <w:rFonts w:ascii="Times New Roman"/>
                <w:sz w:val="24"/>
              </w:rPr>
            </w:pPr>
          </w:p>
        </w:tc>
      </w:tr>
      <w:tr>
        <w:trPr>
          <w:trHeight w:val="558" w:hRule="atLeast"/>
        </w:trPr>
        <w:tc>
          <w:tcPr>
            <w:tcW w:w="2682" w:type="dxa"/>
          </w:tcPr>
          <w:p>
            <w:pPr>
              <w:pStyle w:val="TableParagraph"/>
              <w:spacing w:before="7"/>
              <w:ind w:left="50"/>
              <w:rPr>
                <w:sz w:val="24"/>
              </w:rPr>
            </w:pPr>
            <w:r>
              <w:rPr>
                <w:sz w:val="24"/>
              </w:rPr>
              <w:t>8/3 - 8/4 (R.19)</w:t>
            </w:r>
          </w:p>
          <w:p>
            <w:pPr>
              <w:pStyle w:val="TableParagraph"/>
              <w:spacing w:line="256" w:lineRule="exact"/>
              <w:ind w:left="50"/>
              <w:rPr>
                <w:sz w:val="24"/>
              </w:rPr>
            </w:pPr>
            <w:r>
              <w:rPr>
                <w:sz w:val="24"/>
              </w:rPr>
              <w:t>8/5 - 8/6 (R.7)</w:t>
            </w:r>
          </w:p>
        </w:tc>
        <w:tc>
          <w:tcPr>
            <w:tcW w:w="2638" w:type="dxa"/>
          </w:tcPr>
          <w:p>
            <w:pPr>
              <w:pStyle w:val="TableParagraph"/>
              <w:spacing w:before="7"/>
              <w:ind w:left="58"/>
              <w:rPr>
                <w:sz w:val="24"/>
              </w:rPr>
            </w:pPr>
            <w:r>
              <w:rPr>
                <w:sz w:val="24"/>
              </w:rPr>
              <w:t>9/3 - 9/4</w:t>
            </w:r>
            <w:r>
              <w:rPr>
                <w:spacing w:val="-1"/>
                <w:sz w:val="24"/>
              </w:rPr>
              <w:t> </w:t>
            </w:r>
            <w:r>
              <w:rPr>
                <w:sz w:val="24"/>
              </w:rPr>
              <w:t>(R.8)</w:t>
            </w:r>
          </w:p>
          <w:p>
            <w:pPr>
              <w:pStyle w:val="TableParagraph"/>
              <w:spacing w:line="256" w:lineRule="exact"/>
              <w:ind w:left="58"/>
              <w:rPr>
                <w:sz w:val="24"/>
              </w:rPr>
            </w:pPr>
            <w:r>
              <w:rPr>
                <w:sz w:val="24"/>
              </w:rPr>
              <w:t>9/5 - 9/6</w:t>
            </w:r>
            <w:r>
              <w:rPr>
                <w:spacing w:val="-1"/>
                <w:sz w:val="24"/>
              </w:rPr>
              <w:t> </w:t>
            </w:r>
            <w:r>
              <w:rPr>
                <w:sz w:val="24"/>
              </w:rPr>
              <w:t>(R.3)</w:t>
            </w:r>
          </w:p>
        </w:tc>
        <w:tc>
          <w:tcPr>
            <w:tcW w:w="2681" w:type="dxa"/>
          </w:tcPr>
          <w:p>
            <w:pPr>
              <w:pStyle w:val="TableParagraph"/>
              <w:ind w:left="0"/>
              <w:rPr>
                <w:rFonts w:ascii="Times New Roman"/>
                <w:sz w:val="24"/>
              </w:rPr>
            </w:pP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9"/>
        <w:ind w:left="1522"/>
      </w:pPr>
      <w:r>
        <w:rPr/>
        <w:t>(signed)</w:t>
      </w:r>
    </w:p>
    <w:p>
      <w:pPr>
        <w:pStyle w:val="BodyText"/>
        <w:ind w:left="1522"/>
      </w:pPr>
      <w:r>
        <w:rPr/>
        <w:t>Geoff Johannes</w:t>
      </w:r>
    </w:p>
    <w:p>
      <w:pPr>
        <w:pStyle w:val="BodyText"/>
        <w:ind w:left="1522" w:right="6612"/>
      </w:pPr>
      <w:r>
        <w:rPr/>
        <w:t>National Manager Trade Branch Canberra ACT</w:t>
      </w:r>
    </w:p>
    <w:p>
      <w:pPr>
        <w:pStyle w:val="BodyText"/>
        <w:ind w:left="1522"/>
      </w:pPr>
      <w:r>
        <w:rPr/>
        <w:t>24 July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3"/>
        <w:ind w:left="0" w:right="1537" w:firstLine="0"/>
        <w:jc w:val="right"/>
        <w:rPr>
          <w:sz w:val="20"/>
        </w:rPr>
      </w:pPr>
      <w:r>
        <w:rPr>
          <w:w w:val="99"/>
          <w:sz w:val="20"/>
        </w:rPr>
        <w:t>2</w:t>
      </w:r>
    </w:p>
    <w:sectPr>
      <w:pgSz w:w="11910" w:h="16840"/>
      <w:pgMar w:top="13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Title" w:type="paragraph">
    <w:name w:val="Title"/>
    <w:basedOn w:val="Normal"/>
    <w:uiPriority w:val="1"/>
    <w:qFormat/>
    <w:pPr>
      <w:spacing w:before="92"/>
      <w:ind w:left="1522" w:hanging="336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2020-12-09T22:15:48Z</dcterms:created>
  <dcterms:modified xsi:type="dcterms:W3CDTF">2020-12-09T22:15:48Z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LastSaved">
    <vt:filetime>2020-12-09T00:00:00Z</vt:filetime>
  </property>
</Properties>
</file>