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81825" cy="10858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81825" cy="1085850"/>
                    </a:xfrm>
                    <a:prstGeom prst="rect">
                      <a:avLst/>
                    </a:prstGeom>
                  </pic:spPr>
                </pic:pic>
              </a:graphicData>
            </a:graphic>
          </wp:inline>
        </w:drawing>
      </w:r>
      <w:r>
        <w:rPr>
          <w:rFonts w:ascii="Times New Roman"/>
        </w:rPr>
      </w:r>
    </w:p>
    <w:p>
      <w:pPr>
        <w:pStyle w:val="Title"/>
      </w:pPr>
      <w:r>
        <w:rPr/>
        <w:pict>
          <v:rect style="position:absolute;margin-left:83.664001pt;margin-top:37.811840pt;width:428.11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2014/34</w:t>
      </w:r>
    </w:p>
    <w:p>
      <w:pPr>
        <w:pStyle w:val="BodyText"/>
        <w:rPr>
          <w:b/>
        </w:rPr>
      </w:pPr>
    </w:p>
    <w:p>
      <w:pPr>
        <w:pStyle w:val="BodyText"/>
        <w:spacing w:before="1"/>
        <w:rPr>
          <w:b/>
          <w:sz w:val="21"/>
        </w:rPr>
      </w:pPr>
    </w:p>
    <w:p>
      <w:pPr>
        <w:spacing w:before="0"/>
        <w:ind w:left="1522" w:right="0" w:firstLine="0"/>
        <w:jc w:val="left"/>
        <w:rPr>
          <w:b/>
          <w:sz w:val="24"/>
        </w:rPr>
      </w:pPr>
      <w:r>
        <w:rPr>
          <w:b/>
          <w:sz w:val="24"/>
        </w:rPr>
        <w:t>Indexation of certain customs and excise duty rates – 1 August 2014</w:t>
      </w:r>
    </w:p>
    <w:p>
      <w:pPr>
        <w:pStyle w:val="BodyText"/>
        <w:spacing w:before="1"/>
        <w:rPr>
          <w:b/>
          <w:sz w:val="36"/>
        </w:rPr>
      </w:pPr>
    </w:p>
    <w:p>
      <w:pPr>
        <w:pStyle w:val="BodyText"/>
        <w:ind w:left="1522" w:right="2014"/>
      </w:pPr>
      <w:r>
        <w:rPr/>
        <w:t>The Australian Bureau of Statistics (ABS) released the June Quarter 2014 Consumer Price Index (CPI) figures on 23 July 2014. In accordance with the indexation provisions in section 19 of the </w:t>
      </w:r>
      <w:r>
        <w:rPr>
          <w:i/>
        </w:rPr>
        <w:t>Customs Tariff Act 1995 </w:t>
      </w:r>
      <w:r>
        <w:rPr/>
        <w:t>(Customs Tariff), the rates of</w:t>
      </w:r>
      <w:r>
        <w:rPr>
          <w:spacing w:val="-20"/>
        </w:rPr>
        <w:t> </w:t>
      </w:r>
      <w:r>
        <w:rPr/>
        <w:t>excise-equivalent</w:t>
      </w:r>
    </w:p>
    <w:p>
      <w:pPr>
        <w:pStyle w:val="BodyText"/>
        <w:spacing w:before="2"/>
        <w:ind w:left="1522" w:right="1656"/>
      </w:pPr>
      <w:r>
        <w:rPr/>
        <w:t>customs duty on certain spirits and beer will increase on 1 August 2014. This Notice sets out the new rates of excise-equivalent customs duty in Table 1 and excise duty in Table 2.</w:t>
      </w:r>
    </w:p>
    <w:p>
      <w:pPr>
        <w:pStyle w:val="BodyText"/>
        <w:rPr>
          <w:sz w:val="18"/>
        </w:rPr>
      </w:pPr>
    </w:p>
    <w:p>
      <w:pPr>
        <w:pStyle w:val="BodyText"/>
        <w:ind w:left="1522" w:right="1656"/>
      </w:pPr>
      <w:r>
        <w:rPr/>
        <w:t>Please note tobacco and tobacco products are no longer indexed in line with the CPI. They will be indexed based on average weekly ordinary time earnings (AWOTE) figures on</w:t>
      </w:r>
    </w:p>
    <w:p>
      <w:pPr>
        <w:pStyle w:val="BodyText"/>
        <w:ind w:left="1522" w:right="1923"/>
      </w:pPr>
      <w:r>
        <w:rPr/>
        <w:t>1 September and 1 March of each year. The next indexation will take place on 1 September 2014.</w:t>
      </w:r>
    </w:p>
    <w:p>
      <w:pPr>
        <w:pStyle w:val="BodyText"/>
        <w:spacing w:before="10"/>
        <w:rPr>
          <w:sz w:val="17"/>
        </w:rPr>
      </w:pPr>
    </w:p>
    <w:p>
      <w:pPr>
        <w:pStyle w:val="BodyText"/>
        <w:ind w:left="1522" w:right="1612"/>
      </w:pPr>
      <w:r>
        <w:rPr/>
        <w:t>The new rates of customs and excise duty listed in Tables 1 and 2 are calculated by multiplying the previous rates by an indexation factor. The indexation factor is calculated by dividing the most recent CPI number, that is, the June Quarter 2014 number, by the previous highest December or June Quarter number occurring after the June Quarter 1983.</w:t>
      </w:r>
    </w:p>
    <w:p>
      <w:pPr>
        <w:pStyle w:val="BodyText"/>
      </w:pPr>
    </w:p>
    <w:p>
      <w:pPr>
        <w:pStyle w:val="BodyText"/>
        <w:ind w:left="1522" w:right="1634"/>
      </w:pPr>
      <w:r>
        <w:rPr/>
        <w:t>Accordingly, the June Quarter 2014 index number (105.9) has been divided by the December Quarter 2013 index number (104.8) to establish an indexation factor of 1.010. As this factor is greater than one, rates of excise-equivalent customs duty and excise duty are increased by the application of this factor.</w:t>
      </w:r>
    </w:p>
    <w:p>
      <w:pPr>
        <w:pStyle w:val="BodyText"/>
        <w:spacing w:before="1"/>
        <w:rPr>
          <w:sz w:val="18"/>
        </w:rPr>
      </w:pPr>
    </w:p>
    <w:p>
      <w:pPr>
        <w:pStyle w:val="BodyText"/>
        <w:ind w:left="1522" w:right="1867"/>
      </w:pPr>
      <w:r>
        <w:rPr/>
        <w:t>Note that these rates also apply to goods subject to indexation in Schedule 5 (US originating goods), Schedule 6 (Thai originating goods), Schedule 7 (Chilean originating goods), Schedule 8 (AANZ originating goods) and Schedule 9 (Malaysian originating goods) in the Customs Tariff.</w:t>
      </w:r>
    </w:p>
    <w:p>
      <w:pPr>
        <w:pStyle w:val="BodyText"/>
        <w:spacing w:before="10"/>
        <w:rPr>
          <w:sz w:val="17"/>
        </w:rPr>
      </w:pPr>
    </w:p>
    <w:p>
      <w:pPr>
        <w:pStyle w:val="BodyText"/>
        <w:ind w:left="1522" w:right="2335"/>
      </w:pPr>
      <w:r>
        <w:rPr/>
        <w:t>The Australian Customs and Border Protection Service (ACBPS) has arranged for the publication of a Notice of Substituted Rates of Customs Duty Notice (No. 4) 2014 in the Commonwealth Gazette on 1 August 2014.</w:t>
      </w:r>
    </w:p>
    <w:p>
      <w:pPr>
        <w:pStyle w:val="BodyText"/>
        <w:spacing w:before="1"/>
        <w:rPr>
          <w:sz w:val="18"/>
        </w:rPr>
      </w:pPr>
    </w:p>
    <w:p>
      <w:pPr>
        <w:pStyle w:val="BodyText"/>
        <w:ind w:left="1522"/>
      </w:pPr>
      <w:r>
        <w:rPr/>
        <w:t>Please direct any inquiries concerning these matters to the following contacts:</w:t>
      </w:r>
    </w:p>
    <w:p>
      <w:pPr>
        <w:pStyle w:val="BodyText"/>
      </w:pPr>
    </w:p>
    <w:p>
      <w:pPr>
        <w:spacing w:after="0"/>
        <w:sectPr>
          <w:type w:val="continuous"/>
          <w:pgSz w:w="11910" w:h="16840"/>
          <w:pgMar w:top="1120" w:bottom="280" w:left="180" w:right="160"/>
        </w:sectPr>
      </w:pPr>
    </w:p>
    <w:p>
      <w:pPr>
        <w:pStyle w:val="BodyText"/>
        <w:spacing w:line="320" w:lineRule="atLeast" w:before="139"/>
        <w:ind w:left="2350" w:right="789"/>
      </w:pPr>
      <w:r>
        <w:rPr>
          <w:u w:val="single"/>
        </w:rPr>
        <w:t>for customs duty rates</w:t>
      </w:r>
      <w:r>
        <w:rPr/>
        <w:t> Manager</w:t>
      </w:r>
    </w:p>
    <w:p>
      <w:pPr>
        <w:pStyle w:val="BodyText"/>
        <w:spacing w:before="2"/>
        <w:ind w:left="2350" w:right="-2"/>
      </w:pPr>
      <w:r>
        <w:rPr/>
        <w:t>Trade Policy and Negotiation Australian Customs and</w:t>
      </w:r>
      <w:r>
        <w:rPr>
          <w:spacing w:val="-21"/>
        </w:rPr>
        <w:t> </w:t>
      </w:r>
      <w:r>
        <w:rPr/>
        <w:t>Border Protection Service</w:t>
      </w:r>
    </w:p>
    <w:p>
      <w:pPr>
        <w:pStyle w:val="BodyText"/>
        <w:spacing w:before="2"/>
        <w:ind w:left="2350"/>
      </w:pPr>
      <w:r>
        <w:rPr/>
        <w:t>5 Constitution Avenue</w:t>
      </w:r>
    </w:p>
    <w:p>
      <w:pPr>
        <w:pStyle w:val="BodyText"/>
        <w:ind w:left="2350"/>
      </w:pPr>
      <w:r>
        <w:rPr/>
        <w:t>CANBERRA ACT</w:t>
      </w:r>
      <w:r>
        <w:rPr>
          <w:spacing w:val="55"/>
        </w:rPr>
        <w:t> </w:t>
      </w:r>
      <w:r>
        <w:rPr/>
        <w:t>2601</w:t>
      </w:r>
    </w:p>
    <w:p>
      <w:pPr>
        <w:pStyle w:val="BodyText"/>
        <w:spacing w:before="1"/>
        <w:ind w:left="2350"/>
      </w:pPr>
      <w:r>
        <w:rPr/>
        <w:t>Ph: (02) 6275 6542</w:t>
      </w:r>
    </w:p>
    <w:p>
      <w:pPr>
        <w:pStyle w:val="BodyText"/>
        <w:spacing w:line="320" w:lineRule="atLeast" w:before="139"/>
        <w:ind w:left="693" w:right="3900"/>
      </w:pPr>
      <w:r>
        <w:rPr/>
        <w:br w:type="column"/>
      </w:r>
      <w:r>
        <w:rPr>
          <w:u w:val="single"/>
        </w:rPr>
        <w:t>for excise duty rates</w:t>
      </w:r>
      <w:r>
        <w:rPr/>
        <w:t> Senior Director</w:t>
      </w:r>
    </w:p>
    <w:p>
      <w:pPr>
        <w:pStyle w:val="BodyText"/>
        <w:spacing w:before="2"/>
        <w:ind w:left="693" w:right="2477"/>
      </w:pPr>
      <w:r>
        <w:rPr/>
        <w:t>Indirect Tax, Revenue Performance, Intelligence and Effectiveness Australian Taxation Office</w:t>
      </w:r>
    </w:p>
    <w:p>
      <w:pPr>
        <w:pStyle w:val="BodyText"/>
        <w:spacing w:before="2"/>
        <w:ind w:left="693"/>
      </w:pPr>
      <w:r>
        <w:rPr/>
        <w:t>21 Genge Street</w:t>
      </w:r>
    </w:p>
    <w:p>
      <w:pPr>
        <w:pStyle w:val="BodyText"/>
        <w:ind w:left="693"/>
      </w:pPr>
      <w:r>
        <w:rPr/>
        <w:t>CANBERRA ACT 2600</w:t>
      </w:r>
    </w:p>
    <w:p>
      <w:pPr>
        <w:pStyle w:val="BodyText"/>
        <w:spacing w:before="1"/>
        <w:ind w:left="693"/>
      </w:pPr>
      <w:r>
        <w:rPr/>
        <w:t>Ph: (02) 6216 2572</w:t>
      </w:r>
    </w:p>
    <w:p>
      <w:pPr>
        <w:spacing w:after="0"/>
        <w:sectPr>
          <w:type w:val="continuous"/>
          <w:pgSz w:w="11910" w:h="16840"/>
          <w:pgMar w:top="1120" w:bottom="280" w:left="180" w:right="160"/>
          <w:cols w:num="2" w:equalWidth="0">
            <w:col w:w="5127" w:space="40"/>
            <w:col w:w="6403"/>
          </w:cols>
        </w:sectPr>
      </w:pPr>
    </w:p>
    <w:p>
      <w:pPr>
        <w:pStyle w:val="BodyText"/>
        <w:spacing w:line="480" w:lineRule="auto" w:before="71" w:after="56"/>
        <w:ind w:left="1522" w:right="3591"/>
      </w:pPr>
      <w:r>
        <w:rPr/>
        <w:t>Customs Tariff pages to be issued in connection with these changes are: </w:t>
      </w:r>
      <w:r>
        <w:rPr>
          <w:u w:val="single"/>
        </w:rPr>
        <w:t>Schedule 3</w:t>
      </w:r>
    </w:p>
    <w:tbl>
      <w:tblPr>
        <w:tblW w:w="0" w:type="auto"/>
        <w:jc w:val="left"/>
        <w:tblInd w:w="1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8"/>
        <w:gridCol w:w="1753"/>
        <w:gridCol w:w="1839"/>
        <w:gridCol w:w="1700"/>
        <w:gridCol w:w="1239"/>
      </w:tblGrid>
      <w:tr>
        <w:trPr>
          <w:trHeight w:val="939" w:hRule="atLeast"/>
        </w:trPr>
        <w:tc>
          <w:tcPr>
            <w:tcW w:w="1408" w:type="dxa"/>
          </w:tcPr>
          <w:p>
            <w:pPr>
              <w:pStyle w:val="TableParagraph"/>
              <w:spacing w:line="223" w:lineRule="exact"/>
              <w:ind w:left="158"/>
              <w:rPr>
                <w:sz w:val="20"/>
              </w:rPr>
            </w:pPr>
            <w:r>
              <w:rPr>
                <w:sz w:val="20"/>
              </w:rPr>
              <w:t>22/5</w:t>
            </w:r>
            <w:r>
              <w:rPr>
                <w:spacing w:val="-7"/>
                <w:sz w:val="20"/>
              </w:rPr>
              <w:t> </w:t>
            </w:r>
            <w:r>
              <w:rPr>
                <w:sz w:val="20"/>
              </w:rPr>
              <w:t>(R.43)</w:t>
            </w:r>
          </w:p>
          <w:p>
            <w:pPr>
              <w:pStyle w:val="TableParagraph"/>
              <w:spacing w:before="46"/>
              <w:ind w:left="158"/>
              <w:rPr>
                <w:sz w:val="20"/>
              </w:rPr>
            </w:pPr>
            <w:r>
              <w:rPr>
                <w:sz w:val="20"/>
              </w:rPr>
              <w:t>22/7</w:t>
            </w:r>
            <w:r>
              <w:rPr>
                <w:spacing w:val="-7"/>
                <w:sz w:val="20"/>
              </w:rPr>
              <w:t> </w:t>
            </w:r>
            <w:r>
              <w:rPr>
                <w:sz w:val="20"/>
              </w:rPr>
              <w:t>(R.43)</w:t>
            </w:r>
          </w:p>
          <w:p>
            <w:pPr>
              <w:pStyle w:val="TableParagraph"/>
              <w:spacing w:before="46"/>
              <w:ind w:left="158"/>
              <w:rPr>
                <w:sz w:val="20"/>
              </w:rPr>
            </w:pPr>
            <w:r>
              <w:rPr>
                <w:sz w:val="20"/>
              </w:rPr>
              <w:t>22/9</w:t>
            </w:r>
            <w:r>
              <w:rPr>
                <w:spacing w:val="-7"/>
                <w:sz w:val="20"/>
              </w:rPr>
              <w:t> </w:t>
            </w:r>
            <w:r>
              <w:rPr>
                <w:sz w:val="20"/>
              </w:rPr>
              <w:t>(R.43)</w:t>
            </w:r>
          </w:p>
        </w:tc>
        <w:tc>
          <w:tcPr>
            <w:tcW w:w="1753" w:type="dxa"/>
          </w:tcPr>
          <w:p>
            <w:pPr>
              <w:pStyle w:val="TableParagraph"/>
              <w:spacing w:line="223" w:lineRule="exact"/>
              <w:ind w:left="309"/>
              <w:rPr>
                <w:sz w:val="20"/>
              </w:rPr>
            </w:pPr>
            <w:r>
              <w:rPr>
                <w:sz w:val="20"/>
              </w:rPr>
              <w:t>22/11</w:t>
            </w:r>
            <w:r>
              <w:rPr>
                <w:spacing w:val="-8"/>
                <w:sz w:val="20"/>
              </w:rPr>
              <w:t> </w:t>
            </w:r>
            <w:r>
              <w:rPr>
                <w:sz w:val="20"/>
              </w:rPr>
              <w:t>(R.33)</w:t>
            </w:r>
          </w:p>
          <w:p>
            <w:pPr>
              <w:pStyle w:val="TableParagraph"/>
              <w:spacing w:before="46"/>
              <w:ind w:left="309"/>
              <w:rPr>
                <w:sz w:val="20"/>
              </w:rPr>
            </w:pPr>
            <w:r>
              <w:rPr>
                <w:sz w:val="20"/>
              </w:rPr>
              <w:t>22/13</w:t>
            </w:r>
            <w:r>
              <w:rPr>
                <w:spacing w:val="-8"/>
                <w:sz w:val="20"/>
              </w:rPr>
              <w:t> </w:t>
            </w:r>
            <w:r>
              <w:rPr>
                <w:sz w:val="20"/>
              </w:rPr>
              <w:t>(R.35)</w:t>
            </w:r>
          </w:p>
          <w:p>
            <w:pPr>
              <w:pStyle w:val="TableParagraph"/>
              <w:spacing w:before="46"/>
              <w:ind w:left="309"/>
              <w:rPr>
                <w:sz w:val="20"/>
              </w:rPr>
            </w:pPr>
            <w:r>
              <w:rPr>
                <w:sz w:val="20"/>
              </w:rPr>
              <w:t>22/15</w:t>
            </w:r>
            <w:r>
              <w:rPr>
                <w:spacing w:val="-8"/>
                <w:sz w:val="20"/>
              </w:rPr>
              <w:t> </w:t>
            </w:r>
            <w:r>
              <w:rPr>
                <w:sz w:val="20"/>
              </w:rPr>
              <w:t>(R.33)</w:t>
            </w:r>
          </w:p>
        </w:tc>
        <w:tc>
          <w:tcPr>
            <w:tcW w:w="1839" w:type="dxa"/>
          </w:tcPr>
          <w:p>
            <w:pPr>
              <w:pStyle w:val="TableParagraph"/>
              <w:spacing w:line="223" w:lineRule="exact"/>
              <w:ind w:left="398"/>
              <w:rPr>
                <w:sz w:val="20"/>
              </w:rPr>
            </w:pPr>
            <w:r>
              <w:rPr>
                <w:sz w:val="20"/>
              </w:rPr>
              <w:t>22/17</w:t>
            </w:r>
            <w:r>
              <w:rPr>
                <w:spacing w:val="-9"/>
                <w:sz w:val="20"/>
              </w:rPr>
              <w:t> </w:t>
            </w:r>
            <w:r>
              <w:rPr>
                <w:sz w:val="20"/>
              </w:rPr>
              <w:t>(R.35)</w:t>
            </w:r>
          </w:p>
          <w:p>
            <w:pPr>
              <w:pStyle w:val="TableParagraph"/>
              <w:spacing w:before="46"/>
              <w:ind w:left="398"/>
              <w:rPr>
                <w:sz w:val="20"/>
              </w:rPr>
            </w:pPr>
            <w:r>
              <w:rPr>
                <w:sz w:val="20"/>
              </w:rPr>
              <w:t>22/19</w:t>
            </w:r>
            <w:r>
              <w:rPr>
                <w:spacing w:val="-9"/>
                <w:sz w:val="20"/>
              </w:rPr>
              <w:t> </w:t>
            </w:r>
            <w:r>
              <w:rPr>
                <w:sz w:val="20"/>
              </w:rPr>
              <w:t>(R.35)</w:t>
            </w:r>
          </w:p>
          <w:p>
            <w:pPr>
              <w:pStyle w:val="TableParagraph"/>
              <w:spacing w:before="46"/>
              <w:ind w:left="398"/>
              <w:rPr>
                <w:sz w:val="20"/>
              </w:rPr>
            </w:pPr>
            <w:r>
              <w:rPr>
                <w:sz w:val="20"/>
              </w:rPr>
              <w:t>22/21</w:t>
            </w:r>
            <w:r>
              <w:rPr>
                <w:spacing w:val="-9"/>
                <w:sz w:val="20"/>
              </w:rPr>
              <w:t> </w:t>
            </w:r>
            <w:r>
              <w:rPr>
                <w:sz w:val="20"/>
              </w:rPr>
              <w:t>(R.32)</w:t>
            </w:r>
          </w:p>
        </w:tc>
        <w:tc>
          <w:tcPr>
            <w:tcW w:w="1700" w:type="dxa"/>
          </w:tcPr>
          <w:p>
            <w:pPr>
              <w:pStyle w:val="TableParagraph"/>
              <w:spacing w:line="223" w:lineRule="exact"/>
              <w:ind w:left="402"/>
              <w:rPr>
                <w:sz w:val="20"/>
              </w:rPr>
            </w:pPr>
            <w:r>
              <w:rPr>
                <w:sz w:val="20"/>
              </w:rPr>
              <w:t>22/23 (R.15)</w:t>
            </w:r>
          </w:p>
        </w:tc>
        <w:tc>
          <w:tcPr>
            <w:tcW w:w="1239" w:type="dxa"/>
          </w:tcPr>
          <w:p>
            <w:pPr>
              <w:pStyle w:val="TableParagraph"/>
              <w:rPr>
                <w:rFonts w:ascii="Times New Roman"/>
                <w:sz w:val="18"/>
              </w:rPr>
            </w:pPr>
          </w:p>
        </w:tc>
      </w:tr>
      <w:tr>
        <w:trPr>
          <w:trHeight w:val="506" w:hRule="atLeast"/>
        </w:trPr>
        <w:tc>
          <w:tcPr>
            <w:tcW w:w="1408" w:type="dxa"/>
          </w:tcPr>
          <w:p>
            <w:pPr>
              <w:pStyle w:val="TableParagraph"/>
              <w:spacing w:before="157"/>
              <w:ind w:right="357"/>
              <w:jc w:val="right"/>
              <w:rPr>
                <w:sz w:val="20"/>
              </w:rPr>
            </w:pPr>
            <w:r>
              <w:rPr>
                <w:sz w:val="20"/>
                <w:u w:val="single"/>
              </w:rPr>
              <w:t>Schedule 5</w:t>
            </w:r>
          </w:p>
        </w:tc>
        <w:tc>
          <w:tcPr>
            <w:tcW w:w="1753" w:type="dxa"/>
          </w:tcPr>
          <w:p>
            <w:pPr>
              <w:pStyle w:val="TableParagraph"/>
              <w:spacing w:before="157"/>
              <w:ind w:right="498"/>
              <w:jc w:val="right"/>
              <w:rPr>
                <w:sz w:val="20"/>
              </w:rPr>
            </w:pPr>
            <w:r>
              <w:rPr>
                <w:sz w:val="20"/>
                <w:u w:val="single"/>
              </w:rPr>
              <w:t>Schedule 6</w:t>
            </w:r>
          </w:p>
        </w:tc>
        <w:tc>
          <w:tcPr>
            <w:tcW w:w="1839" w:type="dxa"/>
          </w:tcPr>
          <w:p>
            <w:pPr>
              <w:pStyle w:val="TableParagraph"/>
              <w:spacing w:before="157"/>
              <w:ind w:right="503"/>
              <w:jc w:val="right"/>
              <w:rPr>
                <w:sz w:val="20"/>
              </w:rPr>
            </w:pPr>
            <w:r>
              <w:rPr>
                <w:sz w:val="20"/>
                <w:u w:val="single"/>
              </w:rPr>
              <w:t>Schedule 7</w:t>
            </w:r>
          </w:p>
        </w:tc>
        <w:tc>
          <w:tcPr>
            <w:tcW w:w="1700" w:type="dxa"/>
          </w:tcPr>
          <w:p>
            <w:pPr>
              <w:pStyle w:val="TableParagraph"/>
              <w:spacing w:before="157"/>
              <w:ind w:left="330"/>
              <w:rPr>
                <w:sz w:val="20"/>
              </w:rPr>
            </w:pPr>
            <w:r>
              <w:rPr>
                <w:sz w:val="20"/>
                <w:u w:val="single"/>
              </w:rPr>
              <w:t>Schedule 8</w:t>
            </w:r>
          </w:p>
        </w:tc>
        <w:tc>
          <w:tcPr>
            <w:tcW w:w="1239" w:type="dxa"/>
          </w:tcPr>
          <w:p>
            <w:pPr>
              <w:pStyle w:val="TableParagraph"/>
              <w:spacing w:before="157"/>
              <w:ind w:left="166" w:right="32"/>
              <w:jc w:val="center"/>
              <w:rPr>
                <w:sz w:val="20"/>
              </w:rPr>
            </w:pPr>
            <w:r>
              <w:rPr>
                <w:sz w:val="20"/>
                <w:u w:val="single"/>
              </w:rPr>
              <w:t>Schedule 9</w:t>
            </w:r>
          </w:p>
        </w:tc>
      </w:tr>
      <w:tr>
        <w:trPr>
          <w:trHeight w:val="368" w:hRule="atLeast"/>
        </w:trPr>
        <w:tc>
          <w:tcPr>
            <w:tcW w:w="1408" w:type="dxa"/>
          </w:tcPr>
          <w:p>
            <w:pPr>
              <w:pStyle w:val="TableParagraph"/>
              <w:spacing w:before="112"/>
              <w:ind w:right="360"/>
              <w:jc w:val="right"/>
              <w:rPr>
                <w:sz w:val="20"/>
              </w:rPr>
            </w:pPr>
            <w:r>
              <w:rPr>
                <w:sz w:val="20"/>
              </w:rPr>
              <w:t>5/1 (R.24)</w:t>
            </w:r>
          </w:p>
        </w:tc>
        <w:tc>
          <w:tcPr>
            <w:tcW w:w="1753" w:type="dxa"/>
          </w:tcPr>
          <w:p>
            <w:pPr>
              <w:pStyle w:val="TableParagraph"/>
              <w:spacing w:before="112"/>
              <w:ind w:right="553"/>
              <w:jc w:val="right"/>
              <w:rPr>
                <w:sz w:val="20"/>
              </w:rPr>
            </w:pPr>
            <w:r>
              <w:rPr>
                <w:sz w:val="20"/>
              </w:rPr>
              <w:t>6/1 (R.23)</w:t>
            </w:r>
          </w:p>
        </w:tc>
        <w:tc>
          <w:tcPr>
            <w:tcW w:w="1839" w:type="dxa"/>
          </w:tcPr>
          <w:p>
            <w:pPr>
              <w:pStyle w:val="TableParagraph"/>
              <w:spacing w:before="112"/>
              <w:ind w:right="551"/>
              <w:jc w:val="right"/>
              <w:rPr>
                <w:sz w:val="20"/>
              </w:rPr>
            </w:pPr>
            <w:r>
              <w:rPr>
                <w:sz w:val="20"/>
              </w:rPr>
              <w:t>7/1 (R.12)</w:t>
            </w:r>
          </w:p>
        </w:tc>
        <w:tc>
          <w:tcPr>
            <w:tcW w:w="1700" w:type="dxa"/>
          </w:tcPr>
          <w:p>
            <w:pPr>
              <w:pStyle w:val="TableParagraph"/>
              <w:spacing w:before="112"/>
              <w:ind w:left="402"/>
              <w:rPr>
                <w:sz w:val="20"/>
              </w:rPr>
            </w:pPr>
            <w:r>
              <w:rPr>
                <w:sz w:val="20"/>
              </w:rPr>
              <w:t>8/1 (R.10)</w:t>
            </w:r>
          </w:p>
        </w:tc>
        <w:tc>
          <w:tcPr>
            <w:tcW w:w="1239" w:type="dxa"/>
          </w:tcPr>
          <w:p>
            <w:pPr>
              <w:pStyle w:val="TableParagraph"/>
              <w:spacing w:before="112"/>
              <w:ind w:left="93" w:right="32"/>
              <w:jc w:val="center"/>
              <w:rPr>
                <w:sz w:val="20"/>
              </w:rPr>
            </w:pPr>
            <w:r>
              <w:rPr>
                <w:sz w:val="20"/>
              </w:rPr>
              <w:t>9/1 (R.4)</w:t>
            </w:r>
          </w:p>
        </w:tc>
      </w:tr>
      <w:tr>
        <w:trPr>
          <w:trHeight w:val="249" w:hRule="atLeast"/>
        </w:trPr>
        <w:tc>
          <w:tcPr>
            <w:tcW w:w="1408" w:type="dxa"/>
          </w:tcPr>
          <w:p>
            <w:pPr>
              <w:pStyle w:val="TableParagraph"/>
              <w:spacing w:line="210" w:lineRule="exact" w:before="19"/>
              <w:ind w:right="360"/>
              <w:jc w:val="right"/>
              <w:rPr>
                <w:sz w:val="20"/>
              </w:rPr>
            </w:pPr>
            <w:r>
              <w:rPr>
                <w:sz w:val="20"/>
              </w:rPr>
              <w:t>5/3 (R.35)</w:t>
            </w:r>
          </w:p>
        </w:tc>
        <w:tc>
          <w:tcPr>
            <w:tcW w:w="1753" w:type="dxa"/>
          </w:tcPr>
          <w:p>
            <w:pPr>
              <w:pStyle w:val="TableParagraph"/>
              <w:spacing w:line="210" w:lineRule="exact" w:before="19"/>
              <w:ind w:right="553"/>
              <w:jc w:val="right"/>
              <w:rPr>
                <w:sz w:val="20"/>
              </w:rPr>
            </w:pPr>
            <w:r>
              <w:rPr>
                <w:sz w:val="20"/>
              </w:rPr>
              <w:t>6/3 (R.34)</w:t>
            </w:r>
          </w:p>
        </w:tc>
        <w:tc>
          <w:tcPr>
            <w:tcW w:w="1839" w:type="dxa"/>
          </w:tcPr>
          <w:p>
            <w:pPr>
              <w:pStyle w:val="TableParagraph"/>
              <w:spacing w:line="210" w:lineRule="exact" w:before="19"/>
              <w:ind w:right="551"/>
              <w:jc w:val="right"/>
              <w:rPr>
                <w:sz w:val="20"/>
              </w:rPr>
            </w:pPr>
            <w:r>
              <w:rPr>
                <w:sz w:val="20"/>
              </w:rPr>
              <w:t>7/3 (R.18)</w:t>
            </w:r>
          </w:p>
        </w:tc>
        <w:tc>
          <w:tcPr>
            <w:tcW w:w="1700" w:type="dxa"/>
          </w:tcPr>
          <w:p>
            <w:pPr>
              <w:pStyle w:val="TableParagraph"/>
              <w:spacing w:line="210" w:lineRule="exact" w:before="19"/>
              <w:ind w:left="402"/>
              <w:rPr>
                <w:sz w:val="20"/>
              </w:rPr>
            </w:pPr>
            <w:r>
              <w:rPr>
                <w:sz w:val="20"/>
              </w:rPr>
              <w:t>8/3 (R.20)</w:t>
            </w:r>
          </w:p>
        </w:tc>
        <w:tc>
          <w:tcPr>
            <w:tcW w:w="1239" w:type="dxa"/>
          </w:tcPr>
          <w:p>
            <w:pPr>
              <w:pStyle w:val="TableParagraph"/>
              <w:spacing w:line="210" w:lineRule="exact" w:before="19"/>
              <w:ind w:left="93" w:right="32"/>
              <w:jc w:val="center"/>
              <w:rPr>
                <w:sz w:val="20"/>
              </w:rPr>
            </w:pPr>
            <w:r>
              <w:rPr>
                <w:sz w:val="20"/>
              </w:rPr>
              <w:t>9/3 (R.9)</w:t>
            </w:r>
          </w:p>
        </w:tc>
      </w:tr>
    </w:tbl>
    <w:p>
      <w:pPr>
        <w:pStyle w:val="BodyText"/>
        <w:spacing w:line="460" w:lineRule="atLeast" w:before="44"/>
        <w:ind w:left="1522" w:right="2234"/>
      </w:pPr>
      <w:r>
        <w:rPr/>
        <w:t>ACBPS will issue the above tariff reprint pages in the week commencing 4 August 2014. Excise Tariff Working Pages are available from the ATO webpage:</w:t>
      </w:r>
    </w:p>
    <w:p>
      <w:pPr>
        <w:pStyle w:val="BodyText"/>
        <w:spacing w:before="4"/>
        <w:ind w:left="1522"/>
        <w:rPr>
          <w:rFonts w:ascii="Verdana"/>
        </w:rPr>
      </w:pPr>
      <w:hyperlink r:id="rId7">
        <w:r>
          <w:rPr>
            <w:rFonts w:ascii="Verdana"/>
            <w:color w:val="0000FF"/>
            <w:u w:val="single" w:color="0000FF"/>
          </w:rPr>
          <w:t>www.ato.gov.au/Rates/Excise-tariff-working-pages---by-laws/</w:t>
        </w:r>
      </w:hyperlink>
    </w:p>
    <w:p>
      <w:pPr>
        <w:pStyle w:val="BodyText"/>
        <w:rPr>
          <w:rFonts w:ascii="Verdana"/>
        </w:rPr>
      </w:pPr>
    </w:p>
    <w:p>
      <w:pPr>
        <w:pStyle w:val="BodyText"/>
        <w:rPr>
          <w:rFonts w:ascii="Verdana"/>
        </w:rPr>
      </w:pPr>
    </w:p>
    <w:p>
      <w:pPr>
        <w:pStyle w:val="BodyText"/>
        <w:rPr>
          <w:rFonts w:ascii="Verdana"/>
        </w:rPr>
      </w:pPr>
    </w:p>
    <w:p>
      <w:pPr>
        <w:pStyle w:val="BodyText"/>
        <w:rPr>
          <w:rFonts w:ascii="Verdana"/>
        </w:rPr>
      </w:pPr>
    </w:p>
    <w:p>
      <w:pPr>
        <w:pStyle w:val="BodyText"/>
        <w:rPr>
          <w:rFonts w:ascii="Verdana"/>
        </w:rPr>
      </w:pPr>
    </w:p>
    <w:p>
      <w:pPr>
        <w:pStyle w:val="BodyText"/>
        <w:spacing w:before="7"/>
        <w:rPr>
          <w:rFonts w:ascii="Verdana"/>
          <w:sz w:val="25"/>
        </w:rPr>
      </w:pPr>
    </w:p>
    <w:p>
      <w:pPr>
        <w:pStyle w:val="BodyText"/>
        <w:spacing w:before="93"/>
        <w:ind w:left="1522"/>
      </w:pPr>
      <w:r>
        <w:rPr/>
        <w:t>(signed)</w:t>
      </w:r>
    </w:p>
    <w:p>
      <w:pPr>
        <w:pStyle w:val="BodyText"/>
        <w:spacing w:before="1"/>
        <w:ind w:left="1522" w:right="8467"/>
      </w:pPr>
      <w:r>
        <w:rPr/>
        <w:t>Geoff Johannes National Manager Trade Branch 29</w:t>
      </w:r>
      <w:r>
        <w:rPr>
          <w:vertAlign w:val="superscript"/>
        </w:rPr>
        <w:t>th</w:t>
      </w:r>
      <w:r>
        <w:rPr>
          <w:vertAlign w:val="baseline"/>
        </w:rPr>
        <w:t> July</w:t>
      </w:r>
      <w:r>
        <w:rPr>
          <w:spacing w:val="-5"/>
          <w:vertAlign w:val="baseline"/>
        </w:rPr>
        <w:t> </w:t>
      </w:r>
      <w:r>
        <w:rPr>
          <w:vertAlign w:val="baseline"/>
        </w:rPr>
        <w:t>2014</w:t>
      </w:r>
    </w:p>
    <w:p>
      <w:pPr>
        <w:spacing w:after="0"/>
        <w:sectPr>
          <w:footerReference w:type="default" r:id="rId6"/>
          <w:pgSz w:w="11910" w:h="16840"/>
          <w:pgMar w:footer="590" w:header="0" w:top="1040" w:bottom="780" w:left="180" w:right="160"/>
          <w:pgNumType w:start="2"/>
        </w:sectPr>
      </w:pPr>
    </w:p>
    <w:p>
      <w:pPr>
        <w:tabs>
          <w:tab w:pos="2961" w:val="left" w:leader="none"/>
        </w:tabs>
        <w:spacing w:before="69"/>
        <w:ind w:left="2962" w:right="1991" w:hanging="1440"/>
        <w:jc w:val="left"/>
        <w:rPr>
          <w:b/>
          <w:sz w:val="20"/>
        </w:rPr>
      </w:pPr>
      <w:r>
        <w:rPr>
          <w:b/>
          <w:sz w:val="20"/>
        </w:rPr>
        <w:t>TABLE</w:t>
      </w:r>
      <w:r>
        <w:rPr>
          <w:b/>
          <w:spacing w:val="-3"/>
          <w:sz w:val="20"/>
        </w:rPr>
        <w:t> </w:t>
      </w:r>
      <w:r>
        <w:rPr>
          <w:b/>
          <w:sz w:val="20"/>
        </w:rPr>
        <w:t>1:</w:t>
        <w:tab/>
        <w:t>CUSTOMS TARIFF ACT 1995 - TARIFF SUBHEADINGS AFFECTED BY 1 AUGUST 2014 CPI</w:t>
      </w:r>
      <w:r>
        <w:rPr>
          <w:b/>
          <w:spacing w:val="4"/>
          <w:sz w:val="20"/>
        </w:rPr>
        <w:t> </w:t>
      </w:r>
      <w:r>
        <w:rPr>
          <w:b/>
          <w:sz w:val="20"/>
        </w:rPr>
        <w:t>INDEXATION</w:t>
      </w:r>
    </w:p>
    <w:p>
      <w:pPr>
        <w:pStyle w:val="BodyText"/>
        <w:spacing w:before="6"/>
        <w:rPr>
          <w:b/>
        </w:rPr>
      </w:pPr>
    </w:p>
    <w:tbl>
      <w:tblPr>
        <w:tblW w:w="0" w:type="auto"/>
        <w:jc w:val="left"/>
        <w:tblInd w:w="1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6"/>
        <w:gridCol w:w="1379"/>
        <w:gridCol w:w="5670"/>
      </w:tblGrid>
      <w:tr>
        <w:trPr>
          <w:trHeight w:val="729" w:hRule="atLeast"/>
        </w:trPr>
        <w:tc>
          <w:tcPr>
            <w:tcW w:w="2695" w:type="dxa"/>
            <w:gridSpan w:val="2"/>
          </w:tcPr>
          <w:p>
            <w:pPr>
              <w:pStyle w:val="TableParagraph"/>
              <w:spacing w:before="26"/>
              <w:ind w:left="107" w:right="1146"/>
              <w:rPr>
                <w:b/>
                <w:sz w:val="20"/>
              </w:rPr>
            </w:pPr>
            <w:r>
              <w:rPr>
                <w:b/>
                <w:sz w:val="20"/>
                <w:u w:val="thick"/>
              </w:rPr>
              <w:t>Customs Tariff</w:t>
            </w:r>
            <w:r>
              <w:rPr>
                <w:b/>
                <w:sz w:val="20"/>
              </w:rPr>
              <w:t> </w:t>
            </w:r>
            <w:r>
              <w:rPr>
                <w:b/>
                <w:sz w:val="20"/>
                <w:u w:val="thick"/>
              </w:rPr>
              <w:t>Subheading</w:t>
            </w:r>
          </w:p>
        </w:tc>
        <w:tc>
          <w:tcPr>
            <w:tcW w:w="5670" w:type="dxa"/>
          </w:tcPr>
          <w:p>
            <w:pPr>
              <w:pStyle w:val="TableParagraph"/>
              <w:spacing w:before="26"/>
              <w:ind w:left="106"/>
              <w:rPr>
                <w:b/>
                <w:sz w:val="20"/>
              </w:rPr>
            </w:pPr>
            <w:r>
              <w:rPr>
                <w:b/>
                <w:sz w:val="20"/>
                <w:u w:val="thick"/>
              </w:rPr>
              <w:t>New Rates of Duty Operative from 1 August 2014</w:t>
            </w:r>
          </w:p>
        </w:tc>
      </w:tr>
      <w:tr>
        <w:trPr>
          <w:trHeight w:val="839" w:hRule="atLeast"/>
        </w:trPr>
        <w:tc>
          <w:tcPr>
            <w:tcW w:w="1316" w:type="dxa"/>
            <w:tcBorders>
              <w:right w:val="nil"/>
            </w:tcBorders>
          </w:tcPr>
          <w:p>
            <w:pPr>
              <w:pStyle w:val="TableParagraph"/>
              <w:spacing w:before="28"/>
              <w:ind w:left="107"/>
              <w:rPr>
                <w:sz w:val="20"/>
              </w:rPr>
            </w:pPr>
            <w:r>
              <w:rPr>
                <w:sz w:val="20"/>
              </w:rPr>
              <w:t>2203.00.61</w:t>
            </w:r>
          </w:p>
        </w:tc>
        <w:tc>
          <w:tcPr>
            <w:tcW w:w="1379" w:type="dxa"/>
            <w:tcBorders>
              <w:left w:val="nil"/>
            </w:tcBorders>
          </w:tcPr>
          <w:p>
            <w:pPr>
              <w:pStyle w:val="TableParagraph"/>
              <w:spacing w:before="28"/>
              <w:ind w:left="193" w:right="139"/>
              <w:jc w:val="center"/>
              <w:rPr>
                <w:sz w:val="20"/>
              </w:rPr>
            </w:pPr>
            <w:r>
              <w:rPr>
                <w:sz w:val="20"/>
              </w:rPr>
              <w:t>2206.00.74</w:t>
            </w:r>
          </w:p>
        </w:tc>
        <w:tc>
          <w:tcPr>
            <w:tcW w:w="5670" w:type="dxa"/>
          </w:tcPr>
          <w:p>
            <w:pPr>
              <w:pStyle w:val="TableParagraph"/>
              <w:spacing w:before="28"/>
              <w:ind w:left="106" w:right="497"/>
              <w:rPr>
                <w:sz w:val="20"/>
              </w:rPr>
            </w:pPr>
            <w:r>
              <w:rPr>
                <w:sz w:val="20"/>
              </w:rPr>
              <w:t>$40.15/L of alcohol, calculated on that alcohol content by which the percentage by volume of alcohol of the goods exceeds 1.15</w:t>
            </w:r>
          </w:p>
        </w:tc>
      </w:tr>
      <w:tr>
        <w:trPr>
          <w:trHeight w:val="842" w:hRule="atLeast"/>
        </w:trPr>
        <w:tc>
          <w:tcPr>
            <w:tcW w:w="1316" w:type="dxa"/>
            <w:tcBorders>
              <w:right w:val="nil"/>
            </w:tcBorders>
          </w:tcPr>
          <w:p>
            <w:pPr>
              <w:pStyle w:val="TableParagraph"/>
              <w:spacing w:before="30"/>
              <w:ind w:left="107"/>
              <w:rPr>
                <w:sz w:val="20"/>
              </w:rPr>
            </w:pPr>
            <w:r>
              <w:rPr>
                <w:sz w:val="20"/>
              </w:rPr>
              <w:t>2203.00.62</w:t>
            </w:r>
          </w:p>
        </w:tc>
        <w:tc>
          <w:tcPr>
            <w:tcW w:w="1379" w:type="dxa"/>
            <w:tcBorders>
              <w:left w:val="nil"/>
            </w:tcBorders>
          </w:tcPr>
          <w:p>
            <w:pPr>
              <w:pStyle w:val="TableParagraph"/>
              <w:spacing w:before="30"/>
              <w:ind w:left="193" w:right="139"/>
              <w:jc w:val="center"/>
              <w:rPr>
                <w:sz w:val="20"/>
              </w:rPr>
            </w:pPr>
            <w:r>
              <w:rPr>
                <w:sz w:val="20"/>
              </w:rPr>
              <w:t>2206.00.75</w:t>
            </w:r>
          </w:p>
        </w:tc>
        <w:tc>
          <w:tcPr>
            <w:tcW w:w="5670" w:type="dxa"/>
          </w:tcPr>
          <w:p>
            <w:pPr>
              <w:pStyle w:val="TableParagraph"/>
              <w:spacing w:before="30"/>
              <w:ind w:left="106" w:right="497"/>
              <w:rPr>
                <w:sz w:val="20"/>
              </w:rPr>
            </w:pPr>
            <w:r>
              <w:rPr>
                <w:sz w:val="20"/>
              </w:rPr>
              <w:t>$46.76/L of alcohol, calculated on that alcohol content by which the percentage by volume of alcohol of the goods exceeds 1.15</w:t>
            </w:r>
          </w:p>
        </w:tc>
      </w:tr>
      <w:tr>
        <w:trPr>
          <w:trHeight w:val="839" w:hRule="atLeast"/>
        </w:trPr>
        <w:tc>
          <w:tcPr>
            <w:tcW w:w="1316" w:type="dxa"/>
            <w:tcBorders>
              <w:right w:val="nil"/>
            </w:tcBorders>
          </w:tcPr>
          <w:p>
            <w:pPr>
              <w:pStyle w:val="TableParagraph"/>
              <w:spacing w:before="28"/>
              <w:ind w:left="107"/>
              <w:rPr>
                <w:sz w:val="20"/>
              </w:rPr>
            </w:pPr>
            <w:r>
              <w:rPr>
                <w:sz w:val="20"/>
              </w:rPr>
              <w:t>2203.00.69</w:t>
            </w:r>
          </w:p>
        </w:tc>
        <w:tc>
          <w:tcPr>
            <w:tcW w:w="1379" w:type="dxa"/>
            <w:tcBorders>
              <w:left w:val="nil"/>
            </w:tcBorders>
          </w:tcPr>
          <w:p>
            <w:pPr>
              <w:pStyle w:val="TableParagraph"/>
              <w:spacing w:before="28"/>
              <w:ind w:left="193" w:right="139"/>
              <w:jc w:val="center"/>
              <w:rPr>
                <w:sz w:val="20"/>
              </w:rPr>
            </w:pPr>
            <w:r>
              <w:rPr>
                <w:sz w:val="20"/>
              </w:rPr>
              <w:t>2206.00.78</w:t>
            </w:r>
          </w:p>
        </w:tc>
        <w:tc>
          <w:tcPr>
            <w:tcW w:w="5670" w:type="dxa"/>
          </w:tcPr>
          <w:p>
            <w:pPr>
              <w:pStyle w:val="TableParagraph"/>
              <w:spacing w:before="28"/>
              <w:ind w:left="106" w:right="497"/>
              <w:rPr>
                <w:sz w:val="20"/>
              </w:rPr>
            </w:pPr>
            <w:r>
              <w:rPr>
                <w:sz w:val="20"/>
              </w:rPr>
              <w:t>$46.76/L of alcohol, calculated on that alcohol content by which the percentage by volume of alcohol of the goods exceeds 1.15</w:t>
            </w:r>
          </w:p>
        </w:tc>
      </w:tr>
      <w:tr>
        <w:trPr>
          <w:trHeight w:val="880" w:hRule="atLeast"/>
        </w:trPr>
        <w:tc>
          <w:tcPr>
            <w:tcW w:w="1316" w:type="dxa"/>
            <w:tcBorders>
              <w:right w:val="nil"/>
            </w:tcBorders>
          </w:tcPr>
          <w:p>
            <w:pPr>
              <w:pStyle w:val="TableParagraph"/>
              <w:spacing w:before="28"/>
              <w:ind w:left="107"/>
              <w:rPr>
                <w:sz w:val="20"/>
              </w:rPr>
            </w:pPr>
            <w:r>
              <w:rPr>
                <w:sz w:val="20"/>
              </w:rPr>
              <w:t>2203.00.71</w:t>
            </w:r>
          </w:p>
        </w:tc>
        <w:tc>
          <w:tcPr>
            <w:tcW w:w="1379" w:type="dxa"/>
            <w:tcBorders>
              <w:left w:val="nil"/>
            </w:tcBorders>
          </w:tcPr>
          <w:p>
            <w:pPr>
              <w:pStyle w:val="TableParagraph"/>
              <w:spacing w:before="28"/>
              <w:ind w:left="193" w:right="139"/>
              <w:jc w:val="center"/>
              <w:rPr>
                <w:sz w:val="20"/>
              </w:rPr>
            </w:pPr>
            <w:r>
              <w:rPr>
                <w:sz w:val="20"/>
              </w:rPr>
              <w:t>2206.00.82</w:t>
            </w:r>
          </w:p>
        </w:tc>
        <w:tc>
          <w:tcPr>
            <w:tcW w:w="5670" w:type="dxa"/>
          </w:tcPr>
          <w:p>
            <w:pPr>
              <w:pStyle w:val="TableParagraph"/>
              <w:ind w:left="106" w:right="618"/>
              <w:jc w:val="both"/>
              <w:rPr>
                <w:sz w:val="20"/>
              </w:rPr>
            </w:pPr>
            <w:r>
              <w:rPr>
                <w:sz w:val="20"/>
              </w:rPr>
              <w:t>$8.02/L of alcohol, calculated on that alcohol content by which the percentage by volume of alcohol of the</w:t>
            </w:r>
            <w:r>
              <w:rPr>
                <w:spacing w:val="-17"/>
                <w:sz w:val="20"/>
              </w:rPr>
              <w:t> </w:t>
            </w:r>
            <w:r>
              <w:rPr>
                <w:sz w:val="20"/>
              </w:rPr>
              <w:t>goods exceeds</w:t>
            </w:r>
            <w:r>
              <w:rPr>
                <w:spacing w:val="-1"/>
                <w:sz w:val="20"/>
              </w:rPr>
              <w:t> </w:t>
            </w:r>
            <w:r>
              <w:rPr>
                <w:sz w:val="20"/>
              </w:rPr>
              <w:t>1.15</w:t>
            </w:r>
          </w:p>
        </w:tc>
      </w:tr>
      <w:tr>
        <w:trPr>
          <w:trHeight w:val="839" w:hRule="atLeast"/>
        </w:trPr>
        <w:tc>
          <w:tcPr>
            <w:tcW w:w="1316" w:type="dxa"/>
            <w:tcBorders>
              <w:right w:val="nil"/>
            </w:tcBorders>
          </w:tcPr>
          <w:p>
            <w:pPr>
              <w:pStyle w:val="TableParagraph"/>
              <w:spacing w:before="28"/>
              <w:ind w:left="107"/>
              <w:rPr>
                <w:sz w:val="20"/>
              </w:rPr>
            </w:pPr>
            <w:r>
              <w:rPr>
                <w:sz w:val="20"/>
              </w:rPr>
              <w:t>2203.00.72</w:t>
            </w:r>
          </w:p>
        </w:tc>
        <w:tc>
          <w:tcPr>
            <w:tcW w:w="1379" w:type="dxa"/>
            <w:tcBorders>
              <w:left w:val="nil"/>
            </w:tcBorders>
          </w:tcPr>
          <w:p>
            <w:pPr>
              <w:pStyle w:val="TableParagraph"/>
              <w:spacing w:before="28"/>
              <w:ind w:left="193" w:right="139"/>
              <w:jc w:val="center"/>
              <w:rPr>
                <w:sz w:val="20"/>
              </w:rPr>
            </w:pPr>
            <w:r>
              <w:rPr>
                <w:sz w:val="20"/>
              </w:rPr>
              <w:t>2206.00.83</w:t>
            </w:r>
          </w:p>
        </w:tc>
        <w:tc>
          <w:tcPr>
            <w:tcW w:w="5670" w:type="dxa"/>
          </w:tcPr>
          <w:p>
            <w:pPr>
              <w:pStyle w:val="TableParagraph"/>
              <w:spacing w:before="28"/>
              <w:ind w:left="106" w:right="497"/>
              <w:rPr>
                <w:sz w:val="20"/>
              </w:rPr>
            </w:pPr>
            <w:r>
              <w:rPr>
                <w:sz w:val="20"/>
              </w:rPr>
              <w:t>$25.15/L of alcohol, calculated on that alcohol content by which the percentage by volume of alcohol of the goods exceeds 1.15</w:t>
            </w:r>
          </w:p>
        </w:tc>
      </w:tr>
      <w:tr>
        <w:trPr>
          <w:trHeight w:val="839" w:hRule="atLeast"/>
        </w:trPr>
        <w:tc>
          <w:tcPr>
            <w:tcW w:w="1316" w:type="dxa"/>
            <w:tcBorders>
              <w:right w:val="nil"/>
            </w:tcBorders>
          </w:tcPr>
          <w:p>
            <w:pPr>
              <w:pStyle w:val="TableParagraph"/>
              <w:spacing w:before="28"/>
              <w:ind w:left="107"/>
              <w:rPr>
                <w:sz w:val="20"/>
              </w:rPr>
            </w:pPr>
            <w:r>
              <w:rPr>
                <w:sz w:val="20"/>
              </w:rPr>
              <w:t>2203.00.79</w:t>
            </w:r>
          </w:p>
        </w:tc>
        <w:tc>
          <w:tcPr>
            <w:tcW w:w="1379" w:type="dxa"/>
            <w:tcBorders>
              <w:left w:val="nil"/>
            </w:tcBorders>
          </w:tcPr>
          <w:p>
            <w:pPr>
              <w:pStyle w:val="TableParagraph"/>
              <w:spacing w:before="28"/>
              <w:ind w:left="193" w:right="139"/>
              <w:jc w:val="center"/>
              <w:rPr>
                <w:sz w:val="20"/>
              </w:rPr>
            </w:pPr>
            <w:r>
              <w:rPr>
                <w:sz w:val="20"/>
              </w:rPr>
              <w:t>2206.00.89</w:t>
            </w:r>
          </w:p>
        </w:tc>
        <w:tc>
          <w:tcPr>
            <w:tcW w:w="5670" w:type="dxa"/>
          </w:tcPr>
          <w:p>
            <w:pPr>
              <w:pStyle w:val="TableParagraph"/>
              <w:spacing w:before="28"/>
              <w:ind w:left="106" w:right="497"/>
              <w:rPr>
                <w:sz w:val="20"/>
              </w:rPr>
            </w:pPr>
            <w:r>
              <w:rPr>
                <w:sz w:val="20"/>
              </w:rPr>
              <w:t>$32.93/L of alcohol, calculated on that alcohol content by which the percentage by volume of alcohol of the goods exceeds 1.15</w:t>
            </w:r>
          </w:p>
        </w:tc>
      </w:tr>
      <w:tr>
        <w:trPr>
          <w:trHeight w:val="336" w:hRule="atLeast"/>
        </w:trPr>
        <w:tc>
          <w:tcPr>
            <w:tcW w:w="1316" w:type="dxa"/>
            <w:tcBorders>
              <w:bottom w:val="nil"/>
              <w:right w:val="nil"/>
            </w:tcBorders>
          </w:tcPr>
          <w:p>
            <w:pPr>
              <w:pStyle w:val="TableParagraph"/>
              <w:spacing w:before="28"/>
              <w:ind w:left="107"/>
              <w:rPr>
                <w:sz w:val="20"/>
              </w:rPr>
            </w:pPr>
            <w:r>
              <w:rPr>
                <w:sz w:val="20"/>
              </w:rPr>
              <w:t>2203.00.91</w:t>
            </w:r>
          </w:p>
        </w:tc>
        <w:tc>
          <w:tcPr>
            <w:tcW w:w="1379" w:type="dxa"/>
            <w:tcBorders>
              <w:left w:val="nil"/>
              <w:bottom w:val="nil"/>
            </w:tcBorders>
          </w:tcPr>
          <w:p>
            <w:pPr>
              <w:pStyle w:val="TableParagraph"/>
              <w:spacing w:before="28"/>
              <w:ind w:left="193" w:right="139"/>
              <w:jc w:val="center"/>
              <w:rPr>
                <w:sz w:val="20"/>
              </w:rPr>
            </w:pPr>
            <w:r>
              <w:rPr>
                <w:sz w:val="20"/>
              </w:rPr>
              <w:t>2206.00.14</w:t>
            </w:r>
          </w:p>
        </w:tc>
        <w:tc>
          <w:tcPr>
            <w:tcW w:w="5670" w:type="dxa"/>
            <w:tcBorders>
              <w:bottom w:val="nil"/>
            </w:tcBorders>
          </w:tcPr>
          <w:p>
            <w:pPr>
              <w:pStyle w:val="TableParagraph"/>
              <w:spacing w:before="28"/>
              <w:ind w:left="106"/>
              <w:rPr>
                <w:sz w:val="20"/>
              </w:rPr>
            </w:pPr>
            <w:r>
              <w:rPr>
                <w:sz w:val="20"/>
              </w:rPr>
              <w:t>$79.22/L of alcohol</w:t>
            </w:r>
          </w:p>
        </w:tc>
      </w:tr>
      <w:tr>
        <w:trPr>
          <w:trHeight w:val="380" w:hRule="atLeast"/>
        </w:trPr>
        <w:tc>
          <w:tcPr>
            <w:tcW w:w="1316" w:type="dxa"/>
            <w:tcBorders>
              <w:top w:val="nil"/>
              <w:bottom w:val="nil"/>
              <w:right w:val="nil"/>
            </w:tcBorders>
          </w:tcPr>
          <w:p>
            <w:pPr>
              <w:pStyle w:val="TableParagraph"/>
              <w:spacing w:before="71"/>
              <w:ind w:left="107"/>
              <w:rPr>
                <w:sz w:val="20"/>
              </w:rPr>
            </w:pPr>
            <w:r>
              <w:rPr>
                <w:sz w:val="20"/>
              </w:rPr>
              <w:t>2203.00.99</w:t>
            </w:r>
          </w:p>
        </w:tc>
        <w:tc>
          <w:tcPr>
            <w:tcW w:w="1379" w:type="dxa"/>
            <w:tcBorders>
              <w:top w:val="nil"/>
              <w:left w:val="nil"/>
              <w:bottom w:val="nil"/>
            </w:tcBorders>
          </w:tcPr>
          <w:p>
            <w:pPr>
              <w:pStyle w:val="TableParagraph"/>
              <w:spacing w:before="71"/>
              <w:ind w:left="193" w:right="139"/>
              <w:jc w:val="center"/>
              <w:rPr>
                <w:sz w:val="20"/>
              </w:rPr>
            </w:pPr>
            <w:r>
              <w:rPr>
                <w:sz w:val="20"/>
              </w:rPr>
              <w:t>2206.00.92</w:t>
            </w:r>
          </w:p>
        </w:tc>
        <w:tc>
          <w:tcPr>
            <w:tcW w:w="5670" w:type="dxa"/>
            <w:tcBorders>
              <w:top w:val="nil"/>
              <w:bottom w:val="nil"/>
            </w:tcBorders>
          </w:tcPr>
          <w:p>
            <w:pPr>
              <w:pStyle w:val="TableParagraph"/>
              <w:rPr>
                <w:rFonts w:ascii="Times New Roman"/>
                <w:sz w:val="18"/>
              </w:rPr>
            </w:pPr>
          </w:p>
        </w:tc>
      </w:tr>
      <w:tr>
        <w:trPr>
          <w:trHeight w:val="422" w:hRule="atLeast"/>
        </w:trPr>
        <w:tc>
          <w:tcPr>
            <w:tcW w:w="1316" w:type="dxa"/>
            <w:tcBorders>
              <w:top w:val="nil"/>
              <w:right w:val="nil"/>
            </w:tcBorders>
          </w:tcPr>
          <w:p>
            <w:pPr>
              <w:pStyle w:val="TableParagraph"/>
              <w:spacing w:before="72"/>
              <w:ind w:left="107"/>
              <w:rPr>
                <w:sz w:val="20"/>
              </w:rPr>
            </w:pPr>
            <w:r>
              <w:rPr>
                <w:sz w:val="20"/>
              </w:rPr>
              <w:t>2206.00.13</w:t>
            </w:r>
          </w:p>
        </w:tc>
        <w:tc>
          <w:tcPr>
            <w:tcW w:w="1379" w:type="dxa"/>
            <w:tcBorders>
              <w:top w:val="nil"/>
              <w:left w:val="nil"/>
            </w:tcBorders>
          </w:tcPr>
          <w:p>
            <w:pPr>
              <w:pStyle w:val="TableParagraph"/>
              <w:spacing w:before="72"/>
              <w:ind w:left="193" w:right="139"/>
              <w:jc w:val="center"/>
              <w:rPr>
                <w:sz w:val="20"/>
              </w:rPr>
            </w:pPr>
            <w:r>
              <w:rPr>
                <w:sz w:val="20"/>
              </w:rPr>
              <w:t>2206.00.99</w:t>
            </w:r>
          </w:p>
        </w:tc>
        <w:tc>
          <w:tcPr>
            <w:tcW w:w="5670" w:type="dxa"/>
            <w:tcBorders>
              <w:top w:val="nil"/>
            </w:tcBorders>
          </w:tcPr>
          <w:p>
            <w:pPr>
              <w:pStyle w:val="TableParagraph"/>
              <w:rPr>
                <w:rFonts w:ascii="Times New Roman"/>
                <w:sz w:val="18"/>
              </w:rPr>
            </w:pPr>
          </w:p>
        </w:tc>
      </w:tr>
      <w:tr>
        <w:trPr>
          <w:trHeight w:val="336" w:hRule="atLeast"/>
        </w:trPr>
        <w:tc>
          <w:tcPr>
            <w:tcW w:w="1316" w:type="dxa"/>
            <w:tcBorders>
              <w:bottom w:val="nil"/>
              <w:right w:val="nil"/>
            </w:tcBorders>
          </w:tcPr>
          <w:p>
            <w:pPr>
              <w:pStyle w:val="TableParagraph"/>
              <w:spacing w:before="28"/>
              <w:ind w:left="107"/>
              <w:rPr>
                <w:sz w:val="20"/>
              </w:rPr>
            </w:pPr>
            <w:r>
              <w:rPr>
                <w:sz w:val="20"/>
              </w:rPr>
              <w:t>2204.10.23</w:t>
            </w:r>
          </w:p>
        </w:tc>
        <w:tc>
          <w:tcPr>
            <w:tcW w:w="1379" w:type="dxa"/>
            <w:tcBorders>
              <w:left w:val="nil"/>
              <w:bottom w:val="nil"/>
            </w:tcBorders>
          </w:tcPr>
          <w:p>
            <w:pPr>
              <w:pStyle w:val="TableParagraph"/>
              <w:spacing w:before="28"/>
              <w:ind w:left="193" w:right="139"/>
              <w:jc w:val="center"/>
              <w:rPr>
                <w:sz w:val="20"/>
              </w:rPr>
            </w:pPr>
            <w:r>
              <w:rPr>
                <w:sz w:val="20"/>
              </w:rPr>
              <w:t>2206.00.24</w:t>
            </w:r>
          </w:p>
        </w:tc>
        <w:tc>
          <w:tcPr>
            <w:tcW w:w="5670" w:type="dxa"/>
            <w:tcBorders>
              <w:bottom w:val="nil"/>
            </w:tcBorders>
          </w:tcPr>
          <w:p>
            <w:pPr>
              <w:pStyle w:val="TableParagraph"/>
              <w:spacing w:before="28"/>
              <w:ind w:left="106"/>
              <w:rPr>
                <w:sz w:val="20"/>
              </w:rPr>
            </w:pPr>
            <w:r>
              <w:rPr>
                <w:sz w:val="20"/>
              </w:rPr>
              <w:t>$79.22/L of alcohol, plus customs duty where applicable</w:t>
            </w:r>
          </w:p>
        </w:tc>
      </w:tr>
      <w:tr>
        <w:trPr>
          <w:trHeight w:val="380" w:hRule="atLeast"/>
        </w:trPr>
        <w:tc>
          <w:tcPr>
            <w:tcW w:w="1316" w:type="dxa"/>
            <w:tcBorders>
              <w:top w:val="nil"/>
              <w:bottom w:val="nil"/>
              <w:right w:val="nil"/>
            </w:tcBorders>
          </w:tcPr>
          <w:p>
            <w:pPr>
              <w:pStyle w:val="TableParagraph"/>
              <w:spacing w:before="71"/>
              <w:ind w:left="107"/>
              <w:rPr>
                <w:sz w:val="20"/>
              </w:rPr>
            </w:pPr>
            <w:r>
              <w:rPr>
                <w:sz w:val="20"/>
              </w:rPr>
              <w:t>2204.10.29</w:t>
            </w:r>
          </w:p>
        </w:tc>
        <w:tc>
          <w:tcPr>
            <w:tcW w:w="1379" w:type="dxa"/>
            <w:tcBorders>
              <w:top w:val="nil"/>
              <w:left w:val="nil"/>
              <w:bottom w:val="nil"/>
            </w:tcBorders>
          </w:tcPr>
          <w:p>
            <w:pPr>
              <w:pStyle w:val="TableParagraph"/>
              <w:spacing w:before="71"/>
              <w:ind w:left="193" w:right="139"/>
              <w:jc w:val="center"/>
              <w:rPr>
                <w:sz w:val="20"/>
              </w:rPr>
            </w:pPr>
            <w:r>
              <w:rPr>
                <w:sz w:val="20"/>
              </w:rPr>
              <w:t>2206.00.52</w:t>
            </w:r>
          </w:p>
        </w:tc>
        <w:tc>
          <w:tcPr>
            <w:tcW w:w="5670" w:type="dxa"/>
            <w:tcBorders>
              <w:top w:val="nil"/>
              <w:bottom w:val="nil"/>
            </w:tcBorders>
          </w:tcPr>
          <w:p>
            <w:pPr>
              <w:pStyle w:val="TableParagraph"/>
              <w:rPr>
                <w:rFonts w:ascii="Times New Roman"/>
                <w:sz w:val="18"/>
              </w:rPr>
            </w:pPr>
          </w:p>
        </w:tc>
      </w:tr>
      <w:tr>
        <w:trPr>
          <w:trHeight w:val="380" w:hRule="atLeast"/>
        </w:trPr>
        <w:tc>
          <w:tcPr>
            <w:tcW w:w="1316" w:type="dxa"/>
            <w:tcBorders>
              <w:top w:val="nil"/>
              <w:bottom w:val="nil"/>
              <w:right w:val="nil"/>
            </w:tcBorders>
          </w:tcPr>
          <w:p>
            <w:pPr>
              <w:pStyle w:val="TableParagraph"/>
              <w:spacing w:before="72"/>
              <w:ind w:left="107"/>
              <w:rPr>
                <w:sz w:val="20"/>
              </w:rPr>
            </w:pPr>
            <w:r>
              <w:rPr>
                <w:sz w:val="20"/>
              </w:rPr>
              <w:t>2204.10.83</w:t>
            </w:r>
          </w:p>
        </w:tc>
        <w:tc>
          <w:tcPr>
            <w:tcW w:w="1379" w:type="dxa"/>
            <w:tcBorders>
              <w:top w:val="nil"/>
              <w:left w:val="nil"/>
              <w:bottom w:val="nil"/>
            </w:tcBorders>
          </w:tcPr>
          <w:p>
            <w:pPr>
              <w:pStyle w:val="TableParagraph"/>
              <w:spacing w:before="72"/>
              <w:ind w:left="193" w:right="139"/>
              <w:jc w:val="center"/>
              <w:rPr>
                <w:sz w:val="20"/>
              </w:rPr>
            </w:pPr>
            <w:r>
              <w:rPr>
                <w:sz w:val="20"/>
              </w:rPr>
              <w:t>2206.00.59</w:t>
            </w:r>
          </w:p>
        </w:tc>
        <w:tc>
          <w:tcPr>
            <w:tcW w:w="5670" w:type="dxa"/>
            <w:tcBorders>
              <w:top w:val="nil"/>
              <w:bottom w:val="nil"/>
            </w:tcBorders>
          </w:tcPr>
          <w:p>
            <w:pPr>
              <w:pStyle w:val="TableParagraph"/>
              <w:rPr>
                <w:rFonts w:ascii="Times New Roman"/>
                <w:sz w:val="18"/>
              </w:rPr>
            </w:pPr>
          </w:p>
        </w:tc>
      </w:tr>
      <w:tr>
        <w:trPr>
          <w:trHeight w:val="379" w:hRule="atLeast"/>
        </w:trPr>
        <w:tc>
          <w:tcPr>
            <w:tcW w:w="1316" w:type="dxa"/>
            <w:tcBorders>
              <w:top w:val="nil"/>
              <w:bottom w:val="nil"/>
              <w:right w:val="nil"/>
            </w:tcBorders>
          </w:tcPr>
          <w:p>
            <w:pPr>
              <w:pStyle w:val="TableParagraph"/>
              <w:spacing w:before="71"/>
              <w:ind w:left="107"/>
              <w:rPr>
                <w:sz w:val="20"/>
              </w:rPr>
            </w:pPr>
            <w:r>
              <w:rPr>
                <w:sz w:val="20"/>
              </w:rPr>
              <w:t>2204.10.89</w:t>
            </w:r>
          </w:p>
        </w:tc>
        <w:tc>
          <w:tcPr>
            <w:tcW w:w="1379" w:type="dxa"/>
            <w:tcBorders>
              <w:top w:val="nil"/>
              <w:left w:val="nil"/>
              <w:bottom w:val="nil"/>
            </w:tcBorders>
          </w:tcPr>
          <w:p>
            <w:pPr>
              <w:pStyle w:val="TableParagraph"/>
              <w:spacing w:before="71"/>
              <w:ind w:left="193" w:right="139"/>
              <w:jc w:val="center"/>
              <w:rPr>
                <w:sz w:val="20"/>
              </w:rPr>
            </w:pPr>
            <w:r>
              <w:rPr>
                <w:sz w:val="20"/>
              </w:rPr>
              <w:t>2206.00.62</w:t>
            </w:r>
          </w:p>
        </w:tc>
        <w:tc>
          <w:tcPr>
            <w:tcW w:w="5670" w:type="dxa"/>
            <w:tcBorders>
              <w:top w:val="nil"/>
              <w:bottom w:val="nil"/>
            </w:tcBorders>
          </w:tcPr>
          <w:p>
            <w:pPr>
              <w:pStyle w:val="TableParagraph"/>
              <w:rPr>
                <w:rFonts w:ascii="Times New Roman"/>
                <w:sz w:val="18"/>
              </w:rPr>
            </w:pPr>
          </w:p>
        </w:tc>
      </w:tr>
      <w:tr>
        <w:trPr>
          <w:trHeight w:val="380" w:hRule="atLeast"/>
        </w:trPr>
        <w:tc>
          <w:tcPr>
            <w:tcW w:w="1316" w:type="dxa"/>
            <w:tcBorders>
              <w:top w:val="nil"/>
              <w:bottom w:val="nil"/>
              <w:right w:val="nil"/>
            </w:tcBorders>
          </w:tcPr>
          <w:p>
            <w:pPr>
              <w:pStyle w:val="TableParagraph"/>
              <w:spacing w:before="71"/>
              <w:ind w:left="107"/>
              <w:rPr>
                <w:sz w:val="20"/>
              </w:rPr>
            </w:pPr>
            <w:r>
              <w:rPr>
                <w:sz w:val="20"/>
              </w:rPr>
              <w:t>2204.21.30</w:t>
            </w:r>
          </w:p>
        </w:tc>
        <w:tc>
          <w:tcPr>
            <w:tcW w:w="1379" w:type="dxa"/>
            <w:tcBorders>
              <w:top w:val="nil"/>
              <w:left w:val="nil"/>
              <w:bottom w:val="nil"/>
            </w:tcBorders>
          </w:tcPr>
          <w:p>
            <w:pPr>
              <w:pStyle w:val="TableParagraph"/>
              <w:spacing w:before="71"/>
              <w:ind w:left="193" w:right="139"/>
              <w:jc w:val="center"/>
              <w:rPr>
                <w:sz w:val="20"/>
              </w:rPr>
            </w:pPr>
            <w:r>
              <w:rPr>
                <w:sz w:val="20"/>
              </w:rPr>
              <w:t>2206.00.69</w:t>
            </w:r>
          </w:p>
        </w:tc>
        <w:tc>
          <w:tcPr>
            <w:tcW w:w="5670" w:type="dxa"/>
            <w:tcBorders>
              <w:top w:val="nil"/>
              <w:bottom w:val="nil"/>
            </w:tcBorders>
          </w:tcPr>
          <w:p>
            <w:pPr>
              <w:pStyle w:val="TableParagraph"/>
              <w:rPr>
                <w:rFonts w:ascii="Times New Roman"/>
                <w:sz w:val="18"/>
              </w:rPr>
            </w:pPr>
          </w:p>
        </w:tc>
      </w:tr>
      <w:tr>
        <w:trPr>
          <w:trHeight w:val="380" w:hRule="atLeast"/>
        </w:trPr>
        <w:tc>
          <w:tcPr>
            <w:tcW w:w="1316" w:type="dxa"/>
            <w:tcBorders>
              <w:top w:val="nil"/>
              <w:bottom w:val="nil"/>
              <w:right w:val="nil"/>
            </w:tcBorders>
          </w:tcPr>
          <w:p>
            <w:pPr>
              <w:pStyle w:val="TableParagraph"/>
              <w:spacing w:before="72"/>
              <w:ind w:left="107"/>
              <w:rPr>
                <w:sz w:val="20"/>
              </w:rPr>
            </w:pPr>
            <w:r>
              <w:rPr>
                <w:sz w:val="20"/>
              </w:rPr>
              <w:t>2204.21.90</w:t>
            </w:r>
          </w:p>
        </w:tc>
        <w:tc>
          <w:tcPr>
            <w:tcW w:w="1379" w:type="dxa"/>
            <w:tcBorders>
              <w:top w:val="nil"/>
              <w:left w:val="nil"/>
              <w:bottom w:val="nil"/>
            </w:tcBorders>
          </w:tcPr>
          <w:p>
            <w:pPr>
              <w:pStyle w:val="TableParagraph"/>
              <w:spacing w:before="72"/>
              <w:ind w:left="193" w:right="139"/>
              <w:jc w:val="center"/>
              <w:rPr>
                <w:sz w:val="20"/>
              </w:rPr>
            </w:pPr>
            <w:r>
              <w:rPr>
                <w:sz w:val="20"/>
              </w:rPr>
              <w:t>2207.10.00</w:t>
            </w:r>
          </w:p>
        </w:tc>
        <w:tc>
          <w:tcPr>
            <w:tcW w:w="5670" w:type="dxa"/>
            <w:tcBorders>
              <w:top w:val="nil"/>
              <w:bottom w:val="nil"/>
            </w:tcBorders>
          </w:tcPr>
          <w:p>
            <w:pPr>
              <w:pStyle w:val="TableParagraph"/>
              <w:rPr>
                <w:rFonts w:ascii="Times New Roman"/>
                <w:sz w:val="18"/>
              </w:rPr>
            </w:pPr>
          </w:p>
        </w:tc>
      </w:tr>
      <w:tr>
        <w:trPr>
          <w:trHeight w:val="379" w:hRule="atLeast"/>
        </w:trPr>
        <w:tc>
          <w:tcPr>
            <w:tcW w:w="1316" w:type="dxa"/>
            <w:tcBorders>
              <w:top w:val="nil"/>
              <w:bottom w:val="nil"/>
              <w:right w:val="nil"/>
            </w:tcBorders>
          </w:tcPr>
          <w:p>
            <w:pPr>
              <w:pStyle w:val="TableParagraph"/>
              <w:spacing w:before="71"/>
              <w:ind w:left="107"/>
              <w:rPr>
                <w:sz w:val="20"/>
              </w:rPr>
            </w:pPr>
            <w:r>
              <w:rPr>
                <w:sz w:val="20"/>
              </w:rPr>
              <w:t>2204.29.30</w:t>
            </w:r>
          </w:p>
        </w:tc>
        <w:tc>
          <w:tcPr>
            <w:tcW w:w="1379" w:type="dxa"/>
            <w:tcBorders>
              <w:top w:val="nil"/>
              <w:left w:val="nil"/>
              <w:bottom w:val="nil"/>
            </w:tcBorders>
          </w:tcPr>
          <w:p>
            <w:pPr>
              <w:pStyle w:val="TableParagraph"/>
              <w:spacing w:before="71"/>
              <w:ind w:left="193" w:right="139"/>
              <w:jc w:val="center"/>
              <w:rPr>
                <w:sz w:val="20"/>
              </w:rPr>
            </w:pPr>
            <w:r>
              <w:rPr>
                <w:sz w:val="20"/>
              </w:rPr>
              <w:t>2208.20.90</w:t>
            </w:r>
          </w:p>
        </w:tc>
        <w:tc>
          <w:tcPr>
            <w:tcW w:w="5670" w:type="dxa"/>
            <w:tcBorders>
              <w:top w:val="nil"/>
              <w:bottom w:val="nil"/>
            </w:tcBorders>
          </w:tcPr>
          <w:p>
            <w:pPr>
              <w:pStyle w:val="TableParagraph"/>
              <w:rPr>
                <w:rFonts w:ascii="Times New Roman"/>
                <w:sz w:val="18"/>
              </w:rPr>
            </w:pPr>
          </w:p>
        </w:tc>
      </w:tr>
      <w:tr>
        <w:trPr>
          <w:trHeight w:val="380" w:hRule="atLeast"/>
        </w:trPr>
        <w:tc>
          <w:tcPr>
            <w:tcW w:w="1316" w:type="dxa"/>
            <w:tcBorders>
              <w:top w:val="nil"/>
              <w:bottom w:val="nil"/>
              <w:right w:val="nil"/>
            </w:tcBorders>
          </w:tcPr>
          <w:p>
            <w:pPr>
              <w:pStyle w:val="TableParagraph"/>
              <w:spacing w:before="71"/>
              <w:ind w:left="107"/>
              <w:rPr>
                <w:sz w:val="20"/>
              </w:rPr>
            </w:pPr>
            <w:r>
              <w:rPr>
                <w:sz w:val="20"/>
              </w:rPr>
              <w:t>2204.29.90</w:t>
            </w:r>
          </w:p>
        </w:tc>
        <w:tc>
          <w:tcPr>
            <w:tcW w:w="1379" w:type="dxa"/>
            <w:tcBorders>
              <w:top w:val="nil"/>
              <w:left w:val="nil"/>
              <w:bottom w:val="nil"/>
            </w:tcBorders>
          </w:tcPr>
          <w:p>
            <w:pPr>
              <w:pStyle w:val="TableParagraph"/>
              <w:spacing w:before="71"/>
              <w:ind w:left="193" w:right="139"/>
              <w:jc w:val="center"/>
              <w:rPr>
                <w:sz w:val="20"/>
              </w:rPr>
            </w:pPr>
            <w:r>
              <w:rPr>
                <w:sz w:val="20"/>
              </w:rPr>
              <w:t>2208.30.00</w:t>
            </w:r>
          </w:p>
        </w:tc>
        <w:tc>
          <w:tcPr>
            <w:tcW w:w="5670" w:type="dxa"/>
            <w:tcBorders>
              <w:top w:val="nil"/>
              <w:bottom w:val="nil"/>
            </w:tcBorders>
          </w:tcPr>
          <w:p>
            <w:pPr>
              <w:pStyle w:val="TableParagraph"/>
              <w:rPr>
                <w:rFonts w:ascii="Times New Roman"/>
                <w:sz w:val="18"/>
              </w:rPr>
            </w:pPr>
          </w:p>
        </w:tc>
      </w:tr>
      <w:tr>
        <w:trPr>
          <w:trHeight w:val="380" w:hRule="atLeast"/>
        </w:trPr>
        <w:tc>
          <w:tcPr>
            <w:tcW w:w="1316" w:type="dxa"/>
            <w:tcBorders>
              <w:top w:val="nil"/>
              <w:bottom w:val="nil"/>
              <w:right w:val="nil"/>
            </w:tcBorders>
          </w:tcPr>
          <w:p>
            <w:pPr>
              <w:pStyle w:val="TableParagraph"/>
              <w:spacing w:before="72"/>
              <w:ind w:left="107"/>
              <w:rPr>
                <w:sz w:val="20"/>
              </w:rPr>
            </w:pPr>
            <w:r>
              <w:rPr>
                <w:sz w:val="20"/>
              </w:rPr>
              <w:t>2205.10.30</w:t>
            </w:r>
          </w:p>
        </w:tc>
        <w:tc>
          <w:tcPr>
            <w:tcW w:w="1379" w:type="dxa"/>
            <w:tcBorders>
              <w:top w:val="nil"/>
              <w:left w:val="nil"/>
              <w:bottom w:val="nil"/>
            </w:tcBorders>
          </w:tcPr>
          <w:p>
            <w:pPr>
              <w:pStyle w:val="TableParagraph"/>
              <w:spacing w:before="72"/>
              <w:ind w:left="193" w:right="139"/>
              <w:jc w:val="center"/>
              <w:rPr>
                <w:sz w:val="20"/>
              </w:rPr>
            </w:pPr>
            <w:r>
              <w:rPr>
                <w:sz w:val="20"/>
              </w:rPr>
              <w:t>2208.40.00</w:t>
            </w:r>
          </w:p>
        </w:tc>
        <w:tc>
          <w:tcPr>
            <w:tcW w:w="5670" w:type="dxa"/>
            <w:tcBorders>
              <w:top w:val="nil"/>
              <w:bottom w:val="nil"/>
            </w:tcBorders>
          </w:tcPr>
          <w:p>
            <w:pPr>
              <w:pStyle w:val="TableParagraph"/>
              <w:rPr>
                <w:rFonts w:ascii="Times New Roman"/>
                <w:sz w:val="18"/>
              </w:rPr>
            </w:pPr>
          </w:p>
        </w:tc>
      </w:tr>
      <w:tr>
        <w:trPr>
          <w:trHeight w:val="379" w:hRule="atLeast"/>
        </w:trPr>
        <w:tc>
          <w:tcPr>
            <w:tcW w:w="1316" w:type="dxa"/>
            <w:tcBorders>
              <w:top w:val="nil"/>
              <w:bottom w:val="nil"/>
              <w:right w:val="nil"/>
            </w:tcBorders>
          </w:tcPr>
          <w:p>
            <w:pPr>
              <w:pStyle w:val="TableParagraph"/>
              <w:spacing w:before="71"/>
              <w:ind w:left="107"/>
              <w:rPr>
                <w:sz w:val="20"/>
              </w:rPr>
            </w:pPr>
            <w:r>
              <w:rPr>
                <w:sz w:val="20"/>
              </w:rPr>
              <w:t>2205.10.90</w:t>
            </w:r>
          </w:p>
        </w:tc>
        <w:tc>
          <w:tcPr>
            <w:tcW w:w="1379" w:type="dxa"/>
            <w:tcBorders>
              <w:top w:val="nil"/>
              <w:left w:val="nil"/>
              <w:bottom w:val="nil"/>
            </w:tcBorders>
          </w:tcPr>
          <w:p>
            <w:pPr>
              <w:pStyle w:val="TableParagraph"/>
              <w:spacing w:before="71"/>
              <w:ind w:left="193" w:right="139"/>
              <w:jc w:val="center"/>
              <w:rPr>
                <w:sz w:val="20"/>
              </w:rPr>
            </w:pPr>
            <w:r>
              <w:rPr>
                <w:sz w:val="20"/>
              </w:rPr>
              <w:t>2208.50.00</w:t>
            </w:r>
          </w:p>
        </w:tc>
        <w:tc>
          <w:tcPr>
            <w:tcW w:w="5670" w:type="dxa"/>
            <w:tcBorders>
              <w:top w:val="nil"/>
              <w:bottom w:val="nil"/>
            </w:tcBorders>
          </w:tcPr>
          <w:p>
            <w:pPr>
              <w:pStyle w:val="TableParagraph"/>
              <w:rPr>
                <w:rFonts w:ascii="Times New Roman"/>
                <w:sz w:val="18"/>
              </w:rPr>
            </w:pPr>
          </w:p>
        </w:tc>
      </w:tr>
      <w:tr>
        <w:trPr>
          <w:trHeight w:val="380" w:hRule="atLeast"/>
        </w:trPr>
        <w:tc>
          <w:tcPr>
            <w:tcW w:w="1316" w:type="dxa"/>
            <w:tcBorders>
              <w:top w:val="nil"/>
              <w:bottom w:val="nil"/>
              <w:right w:val="nil"/>
            </w:tcBorders>
          </w:tcPr>
          <w:p>
            <w:pPr>
              <w:pStyle w:val="TableParagraph"/>
              <w:spacing w:before="71"/>
              <w:ind w:left="107"/>
              <w:rPr>
                <w:sz w:val="20"/>
              </w:rPr>
            </w:pPr>
            <w:r>
              <w:rPr>
                <w:sz w:val="20"/>
              </w:rPr>
              <w:t>2205.90.30</w:t>
            </w:r>
          </w:p>
        </w:tc>
        <w:tc>
          <w:tcPr>
            <w:tcW w:w="1379" w:type="dxa"/>
            <w:tcBorders>
              <w:top w:val="nil"/>
              <w:left w:val="nil"/>
              <w:bottom w:val="nil"/>
            </w:tcBorders>
          </w:tcPr>
          <w:p>
            <w:pPr>
              <w:pStyle w:val="TableParagraph"/>
              <w:spacing w:before="71"/>
              <w:ind w:left="193" w:right="139"/>
              <w:jc w:val="center"/>
              <w:rPr>
                <w:sz w:val="20"/>
              </w:rPr>
            </w:pPr>
            <w:r>
              <w:rPr>
                <w:sz w:val="20"/>
              </w:rPr>
              <w:t>2208.60.00</w:t>
            </w:r>
          </w:p>
        </w:tc>
        <w:tc>
          <w:tcPr>
            <w:tcW w:w="5670" w:type="dxa"/>
            <w:tcBorders>
              <w:top w:val="nil"/>
              <w:bottom w:val="nil"/>
            </w:tcBorders>
          </w:tcPr>
          <w:p>
            <w:pPr>
              <w:pStyle w:val="TableParagraph"/>
              <w:rPr>
                <w:rFonts w:ascii="Times New Roman"/>
                <w:sz w:val="18"/>
              </w:rPr>
            </w:pPr>
          </w:p>
        </w:tc>
      </w:tr>
      <w:tr>
        <w:trPr>
          <w:trHeight w:val="380" w:hRule="atLeast"/>
        </w:trPr>
        <w:tc>
          <w:tcPr>
            <w:tcW w:w="1316" w:type="dxa"/>
            <w:tcBorders>
              <w:top w:val="nil"/>
              <w:bottom w:val="nil"/>
              <w:right w:val="nil"/>
            </w:tcBorders>
          </w:tcPr>
          <w:p>
            <w:pPr>
              <w:pStyle w:val="TableParagraph"/>
              <w:spacing w:before="72"/>
              <w:ind w:left="107"/>
              <w:rPr>
                <w:sz w:val="20"/>
              </w:rPr>
            </w:pPr>
            <w:r>
              <w:rPr>
                <w:sz w:val="20"/>
              </w:rPr>
              <w:t>2205.90.90</w:t>
            </w:r>
          </w:p>
        </w:tc>
        <w:tc>
          <w:tcPr>
            <w:tcW w:w="1379" w:type="dxa"/>
            <w:tcBorders>
              <w:top w:val="nil"/>
              <w:left w:val="nil"/>
              <w:bottom w:val="nil"/>
            </w:tcBorders>
          </w:tcPr>
          <w:p>
            <w:pPr>
              <w:pStyle w:val="TableParagraph"/>
              <w:spacing w:before="72"/>
              <w:ind w:left="193" w:right="139"/>
              <w:jc w:val="center"/>
              <w:rPr>
                <w:sz w:val="20"/>
              </w:rPr>
            </w:pPr>
            <w:r>
              <w:rPr>
                <w:sz w:val="20"/>
              </w:rPr>
              <w:t>2208.70.00</w:t>
            </w:r>
          </w:p>
        </w:tc>
        <w:tc>
          <w:tcPr>
            <w:tcW w:w="5670" w:type="dxa"/>
            <w:tcBorders>
              <w:top w:val="nil"/>
              <w:bottom w:val="nil"/>
            </w:tcBorders>
          </w:tcPr>
          <w:p>
            <w:pPr>
              <w:pStyle w:val="TableParagraph"/>
              <w:rPr>
                <w:rFonts w:ascii="Times New Roman"/>
                <w:sz w:val="18"/>
              </w:rPr>
            </w:pPr>
          </w:p>
        </w:tc>
      </w:tr>
      <w:tr>
        <w:trPr>
          <w:trHeight w:val="379" w:hRule="atLeast"/>
        </w:trPr>
        <w:tc>
          <w:tcPr>
            <w:tcW w:w="1316" w:type="dxa"/>
            <w:tcBorders>
              <w:top w:val="nil"/>
              <w:bottom w:val="nil"/>
              <w:right w:val="nil"/>
            </w:tcBorders>
          </w:tcPr>
          <w:p>
            <w:pPr>
              <w:pStyle w:val="TableParagraph"/>
              <w:spacing w:before="71"/>
              <w:ind w:left="107"/>
              <w:rPr>
                <w:sz w:val="20"/>
              </w:rPr>
            </w:pPr>
            <w:r>
              <w:rPr>
                <w:sz w:val="20"/>
              </w:rPr>
              <w:t>2206.00.21</w:t>
            </w:r>
          </w:p>
        </w:tc>
        <w:tc>
          <w:tcPr>
            <w:tcW w:w="1379" w:type="dxa"/>
            <w:tcBorders>
              <w:top w:val="nil"/>
              <w:left w:val="nil"/>
              <w:bottom w:val="nil"/>
            </w:tcBorders>
          </w:tcPr>
          <w:p>
            <w:pPr>
              <w:pStyle w:val="TableParagraph"/>
              <w:spacing w:before="71"/>
              <w:ind w:left="193" w:right="139"/>
              <w:jc w:val="center"/>
              <w:rPr>
                <w:sz w:val="20"/>
              </w:rPr>
            </w:pPr>
            <w:r>
              <w:rPr>
                <w:sz w:val="20"/>
              </w:rPr>
              <w:t>2208.90.20</w:t>
            </w:r>
          </w:p>
        </w:tc>
        <w:tc>
          <w:tcPr>
            <w:tcW w:w="5670" w:type="dxa"/>
            <w:tcBorders>
              <w:top w:val="nil"/>
              <w:bottom w:val="nil"/>
            </w:tcBorders>
          </w:tcPr>
          <w:p>
            <w:pPr>
              <w:pStyle w:val="TableParagraph"/>
              <w:rPr>
                <w:rFonts w:ascii="Times New Roman"/>
                <w:sz w:val="18"/>
              </w:rPr>
            </w:pPr>
          </w:p>
        </w:tc>
      </w:tr>
      <w:tr>
        <w:trPr>
          <w:trHeight w:val="380" w:hRule="atLeast"/>
        </w:trPr>
        <w:tc>
          <w:tcPr>
            <w:tcW w:w="1316" w:type="dxa"/>
            <w:tcBorders>
              <w:top w:val="nil"/>
              <w:bottom w:val="nil"/>
              <w:right w:val="nil"/>
            </w:tcBorders>
          </w:tcPr>
          <w:p>
            <w:pPr>
              <w:pStyle w:val="TableParagraph"/>
              <w:spacing w:before="71"/>
              <w:ind w:left="107"/>
              <w:rPr>
                <w:sz w:val="20"/>
              </w:rPr>
            </w:pPr>
            <w:r>
              <w:rPr>
                <w:sz w:val="20"/>
              </w:rPr>
              <w:t>2206.00.22</w:t>
            </w:r>
          </w:p>
        </w:tc>
        <w:tc>
          <w:tcPr>
            <w:tcW w:w="1379" w:type="dxa"/>
            <w:tcBorders>
              <w:top w:val="nil"/>
              <w:left w:val="nil"/>
              <w:bottom w:val="nil"/>
            </w:tcBorders>
          </w:tcPr>
          <w:p>
            <w:pPr>
              <w:pStyle w:val="TableParagraph"/>
              <w:spacing w:before="71"/>
              <w:ind w:left="193" w:right="139"/>
              <w:jc w:val="center"/>
              <w:rPr>
                <w:sz w:val="20"/>
              </w:rPr>
            </w:pPr>
            <w:r>
              <w:rPr>
                <w:sz w:val="20"/>
              </w:rPr>
              <w:t>2208.90.90</w:t>
            </w:r>
          </w:p>
        </w:tc>
        <w:tc>
          <w:tcPr>
            <w:tcW w:w="5670" w:type="dxa"/>
            <w:tcBorders>
              <w:top w:val="nil"/>
              <w:bottom w:val="nil"/>
            </w:tcBorders>
          </w:tcPr>
          <w:p>
            <w:pPr>
              <w:pStyle w:val="TableParagraph"/>
              <w:rPr>
                <w:rFonts w:ascii="Times New Roman"/>
                <w:sz w:val="18"/>
              </w:rPr>
            </w:pPr>
          </w:p>
        </w:tc>
      </w:tr>
      <w:tr>
        <w:trPr>
          <w:trHeight w:val="422" w:hRule="atLeast"/>
        </w:trPr>
        <w:tc>
          <w:tcPr>
            <w:tcW w:w="1316" w:type="dxa"/>
            <w:tcBorders>
              <w:top w:val="nil"/>
              <w:right w:val="nil"/>
            </w:tcBorders>
          </w:tcPr>
          <w:p>
            <w:pPr>
              <w:pStyle w:val="TableParagraph"/>
              <w:spacing w:before="72"/>
              <w:ind w:left="107"/>
              <w:rPr>
                <w:sz w:val="20"/>
              </w:rPr>
            </w:pPr>
            <w:r>
              <w:rPr>
                <w:sz w:val="20"/>
              </w:rPr>
              <w:t>2206.00.23</w:t>
            </w:r>
          </w:p>
        </w:tc>
        <w:tc>
          <w:tcPr>
            <w:tcW w:w="1379" w:type="dxa"/>
            <w:tcBorders>
              <w:top w:val="nil"/>
              <w:left w:val="nil"/>
            </w:tcBorders>
          </w:tcPr>
          <w:p>
            <w:pPr>
              <w:pStyle w:val="TableParagraph"/>
              <w:rPr>
                <w:rFonts w:ascii="Times New Roman"/>
                <w:sz w:val="18"/>
              </w:rPr>
            </w:pPr>
          </w:p>
        </w:tc>
        <w:tc>
          <w:tcPr>
            <w:tcW w:w="5670" w:type="dxa"/>
            <w:tcBorders>
              <w:top w:val="nil"/>
            </w:tcBorders>
          </w:tcPr>
          <w:p>
            <w:pPr>
              <w:pStyle w:val="TableParagraph"/>
              <w:rPr>
                <w:rFonts w:ascii="Times New Roman"/>
                <w:sz w:val="18"/>
              </w:rPr>
            </w:pPr>
          </w:p>
        </w:tc>
      </w:tr>
      <w:tr>
        <w:trPr>
          <w:trHeight w:val="381" w:hRule="atLeast"/>
        </w:trPr>
        <w:tc>
          <w:tcPr>
            <w:tcW w:w="2695" w:type="dxa"/>
            <w:gridSpan w:val="2"/>
          </w:tcPr>
          <w:p>
            <w:pPr>
              <w:pStyle w:val="TableParagraph"/>
              <w:spacing w:before="28"/>
              <w:ind w:left="107"/>
              <w:rPr>
                <w:sz w:val="20"/>
              </w:rPr>
            </w:pPr>
            <w:r>
              <w:rPr>
                <w:sz w:val="20"/>
              </w:rPr>
              <w:t>2208.20.10</w:t>
            </w:r>
          </w:p>
        </w:tc>
        <w:tc>
          <w:tcPr>
            <w:tcW w:w="5670" w:type="dxa"/>
          </w:tcPr>
          <w:p>
            <w:pPr>
              <w:pStyle w:val="TableParagraph"/>
              <w:spacing w:before="28"/>
              <w:ind w:left="106"/>
              <w:rPr>
                <w:sz w:val="20"/>
              </w:rPr>
            </w:pPr>
            <w:r>
              <w:rPr>
                <w:sz w:val="20"/>
              </w:rPr>
              <w:t>$73.98/L of alcohol, plus customs duty where applicable</w:t>
            </w:r>
          </w:p>
        </w:tc>
      </w:tr>
    </w:tbl>
    <w:p>
      <w:pPr>
        <w:spacing w:after="0"/>
        <w:rPr>
          <w:sz w:val="20"/>
        </w:rPr>
        <w:sectPr>
          <w:pgSz w:w="11910" w:h="16840"/>
          <w:pgMar w:header="0" w:footer="590" w:top="1040" w:bottom="780" w:left="180" w:right="160"/>
        </w:sectPr>
      </w:pPr>
    </w:p>
    <w:p>
      <w:pPr>
        <w:tabs>
          <w:tab w:pos="2961" w:val="left" w:leader="none"/>
        </w:tabs>
        <w:spacing w:before="69"/>
        <w:ind w:left="2962" w:right="3101" w:hanging="1440"/>
        <w:jc w:val="left"/>
        <w:rPr>
          <w:b/>
          <w:sz w:val="20"/>
        </w:rPr>
      </w:pPr>
      <w:r>
        <w:rPr>
          <w:b/>
          <w:sz w:val="20"/>
        </w:rPr>
        <w:t>TABLE</w:t>
      </w:r>
      <w:r>
        <w:rPr>
          <w:b/>
          <w:spacing w:val="-3"/>
          <w:sz w:val="20"/>
        </w:rPr>
        <w:t> </w:t>
      </w:r>
      <w:r>
        <w:rPr>
          <w:b/>
          <w:sz w:val="20"/>
        </w:rPr>
        <w:t>2:</w:t>
        <w:tab/>
        <w:t>EXCISE TARIFF ACT 1921 - EXCISE ITEMS AFFECTED BY 1 AUGUST 2014 CPI</w:t>
      </w:r>
      <w:r>
        <w:rPr>
          <w:b/>
          <w:spacing w:val="3"/>
          <w:sz w:val="20"/>
        </w:rPr>
        <w:t> </w:t>
      </w:r>
      <w:r>
        <w:rPr>
          <w:b/>
          <w:sz w:val="20"/>
        </w:rPr>
        <w:t>INDEXATION</w:t>
      </w:r>
    </w:p>
    <w:p>
      <w:pPr>
        <w:pStyle w:val="BodyText"/>
        <w:spacing w:before="6"/>
        <w:rPr>
          <w:b/>
        </w:rPr>
      </w:pPr>
    </w:p>
    <w:tbl>
      <w:tblPr>
        <w:tblW w:w="0" w:type="auto"/>
        <w:jc w:val="left"/>
        <w:tblInd w:w="1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6"/>
        <w:gridCol w:w="5586"/>
      </w:tblGrid>
      <w:tr>
        <w:trPr>
          <w:trHeight w:val="691" w:hRule="atLeast"/>
        </w:trPr>
        <w:tc>
          <w:tcPr>
            <w:tcW w:w="2696" w:type="dxa"/>
          </w:tcPr>
          <w:p>
            <w:pPr>
              <w:pStyle w:val="TableParagraph"/>
              <w:ind w:left="107" w:right="847"/>
              <w:rPr>
                <w:b/>
                <w:sz w:val="20"/>
              </w:rPr>
            </w:pPr>
            <w:r>
              <w:rPr>
                <w:b/>
                <w:sz w:val="20"/>
                <w:u w:val="thick"/>
              </w:rPr>
              <w:t>Excise Tariff Item/</w:t>
            </w:r>
            <w:r>
              <w:rPr>
                <w:b/>
                <w:sz w:val="20"/>
              </w:rPr>
              <w:t> </w:t>
            </w:r>
            <w:r>
              <w:rPr>
                <w:b/>
                <w:sz w:val="20"/>
                <w:u w:val="thick"/>
              </w:rPr>
              <w:t>Subitem</w:t>
            </w:r>
          </w:p>
        </w:tc>
        <w:tc>
          <w:tcPr>
            <w:tcW w:w="5586" w:type="dxa"/>
          </w:tcPr>
          <w:p>
            <w:pPr>
              <w:pStyle w:val="TableParagraph"/>
              <w:spacing w:line="225" w:lineRule="exact"/>
              <w:ind w:left="105"/>
              <w:rPr>
                <w:b/>
                <w:sz w:val="20"/>
              </w:rPr>
            </w:pPr>
            <w:r>
              <w:rPr>
                <w:b/>
                <w:sz w:val="20"/>
                <w:u w:val="thick"/>
              </w:rPr>
              <w:t>New Rates of Duty Operative from 1 August 2014</w:t>
            </w:r>
          </w:p>
        </w:tc>
      </w:tr>
      <w:tr>
        <w:trPr>
          <w:trHeight w:val="378" w:hRule="atLeast"/>
        </w:trPr>
        <w:tc>
          <w:tcPr>
            <w:tcW w:w="2696" w:type="dxa"/>
          </w:tcPr>
          <w:p>
            <w:pPr>
              <w:pStyle w:val="TableParagraph"/>
              <w:spacing w:before="26"/>
              <w:ind w:left="107"/>
              <w:rPr>
                <w:b/>
                <w:sz w:val="20"/>
              </w:rPr>
            </w:pPr>
            <w:r>
              <w:rPr>
                <w:b/>
                <w:w w:val="99"/>
                <w:sz w:val="20"/>
              </w:rPr>
              <w:t>1</w:t>
            </w:r>
          </w:p>
        </w:tc>
        <w:tc>
          <w:tcPr>
            <w:tcW w:w="5586" w:type="dxa"/>
          </w:tcPr>
          <w:p>
            <w:pPr>
              <w:pStyle w:val="TableParagraph"/>
              <w:spacing w:before="26"/>
              <w:ind w:left="105"/>
              <w:rPr>
                <w:b/>
                <w:sz w:val="20"/>
              </w:rPr>
            </w:pPr>
            <w:r>
              <w:rPr>
                <w:b/>
                <w:sz w:val="20"/>
              </w:rPr>
              <w:t>Beer</w:t>
            </w:r>
          </w:p>
        </w:tc>
      </w:tr>
      <w:tr>
        <w:trPr>
          <w:trHeight w:val="839" w:hRule="atLeast"/>
        </w:trPr>
        <w:tc>
          <w:tcPr>
            <w:tcW w:w="2696" w:type="dxa"/>
          </w:tcPr>
          <w:p>
            <w:pPr>
              <w:pStyle w:val="TableParagraph"/>
              <w:spacing w:line="227" w:lineRule="exact"/>
              <w:ind w:right="101"/>
              <w:jc w:val="right"/>
              <w:rPr>
                <w:sz w:val="20"/>
              </w:rPr>
            </w:pPr>
            <w:r>
              <w:rPr>
                <w:w w:val="95"/>
                <w:sz w:val="20"/>
              </w:rPr>
              <w:t>1.1</w:t>
            </w:r>
          </w:p>
        </w:tc>
        <w:tc>
          <w:tcPr>
            <w:tcW w:w="5586" w:type="dxa"/>
          </w:tcPr>
          <w:p>
            <w:pPr>
              <w:pStyle w:val="TableParagraph"/>
              <w:spacing w:before="28"/>
              <w:ind w:left="105"/>
              <w:rPr>
                <w:sz w:val="20"/>
              </w:rPr>
            </w:pPr>
            <w:r>
              <w:rPr>
                <w:sz w:val="20"/>
              </w:rPr>
              <w:t>$40.15 per litre of alcohol, calculated on that alcohol content by which the percentage by volume of alcohol of the goods exceeds 1.15</w:t>
            </w:r>
          </w:p>
        </w:tc>
      </w:tr>
      <w:tr>
        <w:trPr>
          <w:trHeight w:val="839" w:hRule="atLeast"/>
        </w:trPr>
        <w:tc>
          <w:tcPr>
            <w:tcW w:w="2696" w:type="dxa"/>
          </w:tcPr>
          <w:p>
            <w:pPr>
              <w:pStyle w:val="TableParagraph"/>
              <w:spacing w:line="227" w:lineRule="exact"/>
              <w:ind w:right="101"/>
              <w:jc w:val="right"/>
              <w:rPr>
                <w:sz w:val="20"/>
              </w:rPr>
            </w:pPr>
            <w:r>
              <w:rPr>
                <w:w w:val="95"/>
                <w:sz w:val="20"/>
              </w:rPr>
              <w:t>1.2</w:t>
            </w:r>
          </w:p>
        </w:tc>
        <w:tc>
          <w:tcPr>
            <w:tcW w:w="5586" w:type="dxa"/>
          </w:tcPr>
          <w:p>
            <w:pPr>
              <w:pStyle w:val="TableParagraph"/>
              <w:spacing w:before="28"/>
              <w:ind w:left="105" w:right="259"/>
              <w:jc w:val="both"/>
              <w:rPr>
                <w:sz w:val="20"/>
              </w:rPr>
            </w:pPr>
            <w:r>
              <w:rPr>
                <w:sz w:val="20"/>
              </w:rPr>
              <w:t>$8.02 per litre of alcohol, calculated on that alcohol</w:t>
            </w:r>
            <w:r>
              <w:rPr>
                <w:spacing w:val="-21"/>
                <w:sz w:val="20"/>
              </w:rPr>
              <w:t> </w:t>
            </w:r>
            <w:r>
              <w:rPr>
                <w:sz w:val="20"/>
              </w:rPr>
              <w:t>content by which the percentage by volume of alcohol of the goods exceeds</w:t>
            </w:r>
            <w:r>
              <w:rPr>
                <w:spacing w:val="-1"/>
                <w:sz w:val="20"/>
              </w:rPr>
              <w:t> </w:t>
            </w:r>
            <w:r>
              <w:rPr>
                <w:sz w:val="20"/>
              </w:rPr>
              <w:t>1.15</w:t>
            </w:r>
          </w:p>
        </w:tc>
      </w:tr>
      <w:tr>
        <w:trPr>
          <w:trHeight w:val="842" w:hRule="atLeast"/>
        </w:trPr>
        <w:tc>
          <w:tcPr>
            <w:tcW w:w="2696" w:type="dxa"/>
          </w:tcPr>
          <w:p>
            <w:pPr>
              <w:pStyle w:val="TableParagraph"/>
              <w:spacing w:line="229" w:lineRule="exact"/>
              <w:ind w:right="101"/>
              <w:jc w:val="right"/>
              <w:rPr>
                <w:sz w:val="20"/>
              </w:rPr>
            </w:pPr>
            <w:r>
              <w:rPr>
                <w:w w:val="95"/>
                <w:sz w:val="20"/>
              </w:rPr>
              <w:t>1.5</w:t>
            </w:r>
          </w:p>
        </w:tc>
        <w:tc>
          <w:tcPr>
            <w:tcW w:w="5586" w:type="dxa"/>
          </w:tcPr>
          <w:p>
            <w:pPr>
              <w:pStyle w:val="TableParagraph"/>
              <w:spacing w:before="30"/>
              <w:ind w:left="105"/>
              <w:rPr>
                <w:sz w:val="20"/>
              </w:rPr>
            </w:pPr>
            <w:r>
              <w:rPr>
                <w:sz w:val="20"/>
              </w:rPr>
              <w:t>$46.76 per litre of alcohol, calculated on that alcohol content by which the percentage by volume of alcohol of the goods exceeds 1.15</w:t>
            </w:r>
          </w:p>
        </w:tc>
      </w:tr>
      <w:tr>
        <w:trPr>
          <w:trHeight w:val="840" w:hRule="atLeast"/>
        </w:trPr>
        <w:tc>
          <w:tcPr>
            <w:tcW w:w="2696" w:type="dxa"/>
          </w:tcPr>
          <w:p>
            <w:pPr>
              <w:pStyle w:val="TableParagraph"/>
              <w:spacing w:line="228" w:lineRule="exact"/>
              <w:ind w:right="101"/>
              <w:jc w:val="right"/>
              <w:rPr>
                <w:sz w:val="20"/>
              </w:rPr>
            </w:pPr>
            <w:r>
              <w:rPr>
                <w:w w:val="95"/>
                <w:sz w:val="20"/>
              </w:rPr>
              <w:t>1.6</w:t>
            </w:r>
          </w:p>
        </w:tc>
        <w:tc>
          <w:tcPr>
            <w:tcW w:w="5586" w:type="dxa"/>
          </w:tcPr>
          <w:p>
            <w:pPr>
              <w:pStyle w:val="TableParagraph"/>
              <w:spacing w:before="29"/>
              <w:ind w:left="105"/>
              <w:rPr>
                <w:sz w:val="20"/>
              </w:rPr>
            </w:pPr>
            <w:r>
              <w:rPr>
                <w:sz w:val="20"/>
              </w:rPr>
              <w:t>$25.15 per litre of alcohol, calculated on that alcohol content by which the percentage by volume of alcohol of the goods exceeds 1.15</w:t>
            </w:r>
          </w:p>
        </w:tc>
      </w:tr>
      <w:tr>
        <w:trPr>
          <w:trHeight w:val="839" w:hRule="atLeast"/>
        </w:trPr>
        <w:tc>
          <w:tcPr>
            <w:tcW w:w="2696" w:type="dxa"/>
          </w:tcPr>
          <w:p>
            <w:pPr>
              <w:pStyle w:val="TableParagraph"/>
              <w:spacing w:line="227" w:lineRule="exact"/>
              <w:ind w:right="101"/>
              <w:jc w:val="right"/>
              <w:rPr>
                <w:sz w:val="20"/>
              </w:rPr>
            </w:pPr>
            <w:r>
              <w:rPr>
                <w:w w:val="95"/>
                <w:sz w:val="20"/>
              </w:rPr>
              <w:t>1.10</w:t>
            </w:r>
          </w:p>
        </w:tc>
        <w:tc>
          <w:tcPr>
            <w:tcW w:w="5586" w:type="dxa"/>
          </w:tcPr>
          <w:p>
            <w:pPr>
              <w:pStyle w:val="TableParagraph"/>
              <w:spacing w:before="28"/>
              <w:ind w:left="105"/>
              <w:rPr>
                <w:sz w:val="20"/>
              </w:rPr>
            </w:pPr>
            <w:r>
              <w:rPr>
                <w:sz w:val="20"/>
              </w:rPr>
              <w:t>$46.76 per litre of alcohol, calculated on that alcohol content by which the percentage by volume of alcohol of the goods exceeds 1.15</w:t>
            </w:r>
          </w:p>
        </w:tc>
      </w:tr>
      <w:tr>
        <w:trPr>
          <w:trHeight w:val="839" w:hRule="atLeast"/>
        </w:trPr>
        <w:tc>
          <w:tcPr>
            <w:tcW w:w="2696" w:type="dxa"/>
          </w:tcPr>
          <w:p>
            <w:pPr>
              <w:pStyle w:val="TableParagraph"/>
              <w:spacing w:line="227" w:lineRule="exact"/>
              <w:ind w:right="101"/>
              <w:jc w:val="right"/>
              <w:rPr>
                <w:sz w:val="20"/>
              </w:rPr>
            </w:pPr>
            <w:r>
              <w:rPr>
                <w:w w:val="95"/>
                <w:sz w:val="20"/>
              </w:rPr>
              <w:t>1.11</w:t>
            </w:r>
          </w:p>
        </w:tc>
        <w:tc>
          <w:tcPr>
            <w:tcW w:w="5586" w:type="dxa"/>
          </w:tcPr>
          <w:p>
            <w:pPr>
              <w:pStyle w:val="TableParagraph"/>
              <w:spacing w:before="28"/>
              <w:ind w:left="105"/>
              <w:rPr>
                <w:sz w:val="20"/>
              </w:rPr>
            </w:pPr>
            <w:r>
              <w:rPr>
                <w:sz w:val="20"/>
              </w:rPr>
              <w:t>$32.93 per litre of alcohol, calculated on that alcohol content by which the percentage by volume of alcohol of the goods exceeds 1.15</w:t>
            </w:r>
          </w:p>
        </w:tc>
      </w:tr>
      <w:tr>
        <w:trPr>
          <w:trHeight w:val="839" w:hRule="atLeast"/>
        </w:trPr>
        <w:tc>
          <w:tcPr>
            <w:tcW w:w="2696" w:type="dxa"/>
          </w:tcPr>
          <w:p>
            <w:pPr>
              <w:pStyle w:val="TableParagraph"/>
              <w:spacing w:line="227" w:lineRule="exact"/>
              <w:ind w:right="101"/>
              <w:jc w:val="right"/>
              <w:rPr>
                <w:sz w:val="20"/>
              </w:rPr>
            </w:pPr>
            <w:r>
              <w:rPr>
                <w:w w:val="95"/>
                <w:sz w:val="20"/>
              </w:rPr>
              <w:t>1.15</w:t>
            </w:r>
          </w:p>
        </w:tc>
        <w:tc>
          <w:tcPr>
            <w:tcW w:w="5586" w:type="dxa"/>
          </w:tcPr>
          <w:p>
            <w:pPr>
              <w:pStyle w:val="TableParagraph"/>
              <w:spacing w:before="28"/>
              <w:ind w:left="105" w:right="259"/>
              <w:jc w:val="both"/>
              <w:rPr>
                <w:sz w:val="20"/>
              </w:rPr>
            </w:pPr>
            <w:r>
              <w:rPr>
                <w:sz w:val="20"/>
              </w:rPr>
              <w:t>$2.82 per litre of alcohol, calculated on that alcohol</w:t>
            </w:r>
            <w:r>
              <w:rPr>
                <w:spacing w:val="-22"/>
                <w:sz w:val="20"/>
              </w:rPr>
              <w:t> </w:t>
            </w:r>
            <w:r>
              <w:rPr>
                <w:sz w:val="20"/>
              </w:rPr>
              <w:t>content by which the percentage by volume of alcohol of the goods exceeds</w:t>
            </w:r>
            <w:r>
              <w:rPr>
                <w:spacing w:val="-1"/>
                <w:sz w:val="20"/>
              </w:rPr>
              <w:t> </w:t>
            </w:r>
            <w:r>
              <w:rPr>
                <w:sz w:val="20"/>
              </w:rPr>
              <w:t>1.15</w:t>
            </w:r>
          </w:p>
        </w:tc>
      </w:tr>
      <w:tr>
        <w:trPr>
          <w:trHeight w:val="840" w:hRule="atLeast"/>
        </w:trPr>
        <w:tc>
          <w:tcPr>
            <w:tcW w:w="2696" w:type="dxa"/>
          </w:tcPr>
          <w:p>
            <w:pPr>
              <w:pStyle w:val="TableParagraph"/>
              <w:spacing w:line="227" w:lineRule="exact"/>
              <w:ind w:right="101"/>
              <w:jc w:val="right"/>
              <w:rPr>
                <w:sz w:val="20"/>
              </w:rPr>
            </w:pPr>
            <w:r>
              <w:rPr>
                <w:w w:val="95"/>
                <w:sz w:val="20"/>
              </w:rPr>
              <w:t>1.16</w:t>
            </w:r>
          </w:p>
        </w:tc>
        <w:tc>
          <w:tcPr>
            <w:tcW w:w="5586" w:type="dxa"/>
          </w:tcPr>
          <w:p>
            <w:pPr>
              <w:pStyle w:val="TableParagraph"/>
              <w:spacing w:before="28"/>
              <w:ind w:left="105" w:right="259"/>
              <w:jc w:val="both"/>
              <w:rPr>
                <w:sz w:val="20"/>
              </w:rPr>
            </w:pPr>
            <w:r>
              <w:rPr>
                <w:sz w:val="20"/>
              </w:rPr>
              <w:t>$3.26 per litre of alcohol, calculated on that alcohol</w:t>
            </w:r>
            <w:r>
              <w:rPr>
                <w:spacing w:val="-21"/>
                <w:sz w:val="20"/>
              </w:rPr>
              <w:t> </w:t>
            </w:r>
            <w:r>
              <w:rPr>
                <w:sz w:val="20"/>
              </w:rPr>
              <w:t>content by which the percentage by volume of alcohol of the goods exceeds</w:t>
            </w:r>
            <w:r>
              <w:rPr>
                <w:spacing w:val="-1"/>
                <w:sz w:val="20"/>
              </w:rPr>
              <w:t> </w:t>
            </w:r>
            <w:r>
              <w:rPr>
                <w:sz w:val="20"/>
              </w:rPr>
              <w:t>1.15</w:t>
            </w:r>
          </w:p>
        </w:tc>
      </w:tr>
      <w:tr>
        <w:trPr>
          <w:trHeight w:val="230" w:hRule="atLeast"/>
        </w:trPr>
        <w:tc>
          <w:tcPr>
            <w:tcW w:w="2696" w:type="dxa"/>
          </w:tcPr>
          <w:p>
            <w:pPr>
              <w:pStyle w:val="TableParagraph"/>
              <w:rPr>
                <w:rFonts w:ascii="Times New Roman"/>
                <w:sz w:val="16"/>
              </w:rPr>
            </w:pPr>
          </w:p>
        </w:tc>
        <w:tc>
          <w:tcPr>
            <w:tcW w:w="5586" w:type="dxa"/>
          </w:tcPr>
          <w:p>
            <w:pPr>
              <w:pStyle w:val="TableParagraph"/>
              <w:rPr>
                <w:rFonts w:ascii="Times New Roman"/>
                <w:sz w:val="16"/>
              </w:rPr>
            </w:pPr>
          </w:p>
        </w:tc>
      </w:tr>
      <w:tr>
        <w:trPr>
          <w:trHeight w:val="611" w:hRule="atLeast"/>
        </w:trPr>
        <w:tc>
          <w:tcPr>
            <w:tcW w:w="2696" w:type="dxa"/>
          </w:tcPr>
          <w:p>
            <w:pPr>
              <w:pStyle w:val="TableParagraph"/>
              <w:spacing w:before="26"/>
              <w:ind w:left="107"/>
              <w:rPr>
                <w:b/>
                <w:sz w:val="20"/>
              </w:rPr>
            </w:pPr>
            <w:r>
              <w:rPr>
                <w:b/>
                <w:w w:val="99"/>
                <w:sz w:val="20"/>
              </w:rPr>
              <w:t>2</w:t>
            </w:r>
          </w:p>
        </w:tc>
        <w:tc>
          <w:tcPr>
            <w:tcW w:w="5586" w:type="dxa"/>
          </w:tcPr>
          <w:p>
            <w:pPr>
              <w:pStyle w:val="TableParagraph"/>
              <w:spacing w:before="26"/>
              <w:ind w:left="105" w:right="110"/>
              <w:rPr>
                <w:b/>
                <w:sz w:val="20"/>
              </w:rPr>
            </w:pPr>
            <w:r>
              <w:rPr>
                <w:b/>
                <w:sz w:val="20"/>
              </w:rPr>
              <w:t>Other excisable beverages not exceeding 10% by volume of alcohol</w:t>
            </w:r>
          </w:p>
        </w:tc>
      </w:tr>
      <w:tr>
        <w:trPr>
          <w:trHeight w:val="378" w:hRule="atLeast"/>
        </w:trPr>
        <w:tc>
          <w:tcPr>
            <w:tcW w:w="2696" w:type="dxa"/>
          </w:tcPr>
          <w:p>
            <w:pPr>
              <w:pStyle w:val="TableParagraph"/>
              <w:spacing w:line="227" w:lineRule="exact"/>
              <w:ind w:right="98"/>
              <w:jc w:val="right"/>
              <w:rPr>
                <w:sz w:val="20"/>
              </w:rPr>
            </w:pPr>
            <w:r>
              <w:rPr>
                <w:w w:val="99"/>
                <w:sz w:val="20"/>
              </w:rPr>
              <w:t>2</w:t>
            </w:r>
          </w:p>
        </w:tc>
        <w:tc>
          <w:tcPr>
            <w:tcW w:w="5586" w:type="dxa"/>
          </w:tcPr>
          <w:p>
            <w:pPr>
              <w:pStyle w:val="TableParagraph"/>
              <w:spacing w:before="28"/>
              <w:ind w:left="105"/>
              <w:rPr>
                <w:sz w:val="20"/>
              </w:rPr>
            </w:pPr>
            <w:r>
              <w:rPr>
                <w:sz w:val="20"/>
              </w:rPr>
              <w:t>$79.22 per litre of alcohol</w:t>
            </w:r>
          </w:p>
        </w:tc>
      </w:tr>
      <w:tr>
        <w:trPr>
          <w:trHeight w:val="230" w:hRule="atLeast"/>
        </w:trPr>
        <w:tc>
          <w:tcPr>
            <w:tcW w:w="2696" w:type="dxa"/>
          </w:tcPr>
          <w:p>
            <w:pPr>
              <w:pStyle w:val="TableParagraph"/>
              <w:rPr>
                <w:rFonts w:ascii="Times New Roman"/>
                <w:sz w:val="16"/>
              </w:rPr>
            </w:pPr>
          </w:p>
        </w:tc>
        <w:tc>
          <w:tcPr>
            <w:tcW w:w="5586" w:type="dxa"/>
          </w:tcPr>
          <w:p>
            <w:pPr>
              <w:pStyle w:val="TableParagraph"/>
              <w:rPr>
                <w:rFonts w:ascii="Times New Roman"/>
                <w:sz w:val="16"/>
              </w:rPr>
            </w:pPr>
          </w:p>
        </w:tc>
      </w:tr>
      <w:tr>
        <w:trPr>
          <w:trHeight w:val="609" w:hRule="atLeast"/>
        </w:trPr>
        <w:tc>
          <w:tcPr>
            <w:tcW w:w="2696" w:type="dxa"/>
          </w:tcPr>
          <w:p>
            <w:pPr>
              <w:pStyle w:val="TableParagraph"/>
              <w:spacing w:before="26"/>
              <w:ind w:left="107"/>
              <w:rPr>
                <w:b/>
                <w:sz w:val="20"/>
              </w:rPr>
            </w:pPr>
            <w:r>
              <w:rPr>
                <w:b/>
                <w:w w:val="99"/>
                <w:sz w:val="20"/>
              </w:rPr>
              <w:t>3</w:t>
            </w:r>
          </w:p>
        </w:tc>
        <w:tc>
          <w:tcPr>
            <w:tcW w:w="5586" w:type="dxa"/>
          </w:tcPr>
          <w:p>
            <w:pPr>
              <w:pStyle w:val="TableParagraph"/>
              <w:spacing w:before="26"/>
              <w:ind w:left="105"/>
              <w:rPr>
                <w:b/>
                <w:sz w:val="20"/>
              </w:rPr>
            </w:pPr>
            <w:r>
              <w:rPr>
                <w:b/>
                <w:sz w:val="20"/>
              </w:rPr>
              <w:t>Spirits; Other excisable beverages exceeding 10% by volume of alcohol</w:t>
            </w:r>
          </w:p>
        </w:tc>
      </w:tr>
      <w:tr>
        <w:trPr>
          <w:trHeight w:val="381" w:hRule="atLeast"/>
        </w:trPr>
        <w:tc>
          <w:tcPr>
            <w:tcW w:w="2696" w:type="dxa"/>
          </w:tcPr>
          <w:p>
            <w:pPr>
              <w:pStyle w:val="TableParagraph"/>
              <w:spacing w:line="229" w:lineRule="exact"/>
              <w:ind w:right="101"/>
              <w:jc w:val="right"/>
              <w:rPr>
                <w:sz w:val="20"/>
              </w:rPr>
            </w:pPr>
            <w:r>
              <w:rPr>
                <w:w w:val="95"/>
                <w:sz w:val="20"/>
              </w:rPr>
              <w:t>3.1</w:t>
            </w:r>
          </w:p>
        </w:tc>
        <w:tc>
          <w:tcPr>
            <w:tcW w:w="5586" w:type="dxa"/>
          </w:tcPr>
          <w:p>
            <w:pPr>
              <w:pStyle w:val="TableParagraph"/>
              <w:spacing w:before="30"/>
              <w:ind w:left="105"/>
              <w:rPr>
                <w:sz w:val="20"/>
              </w:rPr>
            </w:pPr>
            <w:r>
              <w:rPr>
                <w:sz w:val="20"/>
              </w:rPr>
              <w:t>$73.98 per litre of alcohol</w:t>
            </w:r>
          </w:p>
        </w:tc>
      </w:tr>
      <w:tr>
        <w:trPr>
          <w:trHeight w:val="378" w:hRule="atLeast"/>
        </w:trPr>
        <w:tc>
          <w:tcPr>
            <w:tcW w:w="2696" w:type="dxa"/>
          </w:tcPr>
          <w:p>
            <w:pPr>
              <w:pStyle w:val="TableParagraph"/>
              <w:spacing w:line="227" w:lineRule="exact"/>
              <w:ind w:right="101"/>
              <w:jc w:val="right"/>
              <w:rPr>
                <w:sz w:val="20"/>
              </w:rPr>
            </w:pPr>
            <w:r>
              <w:rPr>
                <w:w w:val="95"/>
                <w:sz w:val="20"/>
              </w:rPr>
              <w:t>3.2</w:t>
            </w:r>
          </w:p>
        </w:tc>
        <w:tc>
          <w:tcPr>
            <w:tcW w:w="5586" w:type="dxa"/>
          </w:tcPr>
          <w:p>
            <w:pPr>
              <w:pStyle w:val="TableParagraph"/>
              <w:spacing w:before="28"/>
              <w:ind w:left="105"/>
              <w:rPr>
                <w:sz w:val="20"/>
              </w:rPr>
            </w:pPr>
            <w:r>
              <w:rPr>
                <w:sz w:val="20"/>
              </w:rPr>
              <w:t>$79.22 per litre of alcohol</w:t>
            </w:r>
          </w:p>
        </w:tc>
      </w:tr>
      <w:tr>
        <w:trPr>
          <w:trHeight w:val="381" w:hRule="atLeast"/>
        </w:trPr>
        <w:tc>
          <w:tcPr>
            <w:tcW w:w="2696" w:type="dxa"/>
          </w:tcPr>
          <w:p>
            <w:pPr>
              <w:pStyle w:val="TableParagraph"/>
              <w:spacing w:line="229" w:lineRule="exact"/>
              <w:ind w:right="101"/>
              <w:jc w:val="right"/>
              <w:rPr>
                <w:sz w:val="20"/>
              </w:rPr>
            </w:pPr>
            <w:r>
              <w:rPr>
                <w:w w:val="95"/>
                <w:sz w:val="20"/>
              </w:rPr>
              <w:t>3.10</w:t>
            </w:r>
          </w:p>
        </w:tc>
        <w:tc>
          <w:tcPr>
            <w:tcW w:w="5586" w:type="dxa"/>
          </w:tcPr>
          <w:p>
            <w:pPr>
              <w:pStyle w:val="TableParagraph"/>
              <w:spacing w:before="30"/>
              <w:ind w:left="105"/>
              <w:rPr>
                <w:sz w:val="20"/>
              </w:rPr>
            </w:pPr>
            <w:r>
              <w:rPr>
                <w:sz w:val="20"/>
              </w:rPr>
              <w:t>$79.22 per litre of alcohol</w:t>
            </w:r>
          </w:p>
        </w:tc>
      </w:tr>
    </w:tbl>
    <w:sectPr>
      <w:pgSz w:w="11910" w:h="16840"/>
      <w:pgMar w:header="0" w:footer="590" w:top="1040" w:bottom="7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91.890015pt;margin-top:801.399475pt;width:11.55pt;height:13.15pt;mso-position-horizontal-relative:page;mso-position-vertical-relative:page;z-index:-15985152" type="#_x0000_t202" filled="false" stroked="false">
          <v:textbox inset="0,0,0,0">
            <w:txbxContent>
              <w:p>
                <w:pPr>
                  <w:pStyle w:val="BodyText"/>
                  <w:spacing w:before="12"/>
                  <w:ind w:left="60"/>
                </w:pPr>
                <w:r>
                  <w:rPr/>
                  <w:fldChar w:fldCharType="begin"/>
                </w:r>
                <w:r>
                  <w:rPr>
                    <w:w w:val="99"/>
                  </w:rPr>
                  <w:instrText> PAGE </w:instrText>
                </w:r>
                <w:r>
                  <w:rPr/>
                  <w:fldChar w:fldCharType="separate"/>
                </w:r>
                <w:r>
                  <w:rPr/>
                  <w:t>2</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8"/>
      <w:ind w:left="5266" w:right="1615" w:hanging="3654"/>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hyperlink" Target="http://www.ato.gov.au/Rates/Excise-tariff-working-pages---by-la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2020-12-09T22:31:24Z</dcterms:created>
  <dcterms:modified xsi:type="dcterms:W3CDTF">2020-12-09T22:31:24Z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2014-07-29T00:00:00Z</vt:filetime>
  </property>
  <property fmtid="{D5CDD505-2E9C-101B-9397-08002B2CF9AE}" pid="3" name="LastSaved">
    <vt:filetime>2020-12-09T00:00:00Z</vt:filetime>
  </property>
</Properties>
</file>