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ge;z-index:-15766528" from="15.878444pt,137.755295pt" to="584.254542pt,137.755295pt" stroked="true" strokeweight="6.8517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14.795822pt,838.432129pt" to="136.771137pt,838.432129pt" stroked="true" strokeweight=".36061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736" from="229.876556pt,838.432129pt" to="313.238384pt,838.432129pt" stroked="true" strokeweight=".360616pt" strokecolor="#000000">
            <v:stroke dashstyle="solid"/>
            <w10:wrap type="none"/>
          </v:line>
        </w:pict>
      </w:r>
      <w:r>
        <w:rPr/>
        <w:pict>
          <v:rect style="position:absolute;margin-left:487.540375pt;margin-top:837.350281pt;width:105.739622pt;height:.721232pt;mso-position-horizontal-relative:page;mso-position-vertical-relative:page;z-index:15733248" filled="true" fillcolor="#000000" stroked="false">
            <v:fill type="solid"/>
            <w10:wrap type="none"/>
          </v:rect>
        </w:pict>
      </w: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737878</wp:posOffset>
            </wp:positionH>
            <wp:positionV relativeFrom="paragraph">
              <wp:posOffset>-103295</wp:posOffset>
            </wp:positionV>
            <wp:extent cx="884537" cy="65491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537" cy="654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4B70"/>
          <w:w w:val="90"/>
          <w:u w:val="thick" w:color="2D4B70"/>
        </w:rPr>
        <w:t>Australian</w:t>
      </w:r>
      <w:r>
        <w:rPr>
          <w:color w:val="2D4B70"/>
          <w:spacing w:val="23"/>
          <w:w w:val="90"/>
          <w:u w:val="thick" w:color="2D4B70"/>
        </w:rPr>
        <w:t> </w:t>
      </w:r>
      <w:r>
        <w:rPr>
          <w:color w:val="2D4B70"/>
          <w:w w:val="90"/>
          <w:u w:val="thick" w:color="2D4B70"/>
        </w:rPr>
        <w:t>Government</w:t>
      </w:r>
    </w:p>
    <w:p>
      <w:pPr>
        <w:spacing w:line="252" w:lineRule="auto" w:before="132"/>
        <w:ind w:left="1605" w:right="4305" w:hanging="4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color w:val="2D4B70"/>
          <w:sz w:val="25"/>
        </w:rPr>
        <w:t>Australian Customs and </w:t>
      </w:r>
      <w:r>
        <w:rPr>
          <w:rFonts w:ascii="Times New Roman"/>
          <w:b/>
          <w:color w:val="2D4B70"/>
          <w:w w:val="95"/>
          <w:sz w:val="25"/>
        </w:rPr>
        <w:t>Border Protection</w:t>
      </w:r>
      <w:r>
        <w:rPr>
          <w:rFonts w:ascii="Times New Roman"/>
          <w:b/>
          <w:color w:val="2D4B70"/>
          <w:spacing w:val="-19"/>
          <w:w w:val="95"/>
          <w:sz w:val="25"/>
        </w:rPr>
        <w:t> </w:t>
      </w:r>
      <w:r>
        <w:rPr>
          <w:rFonts w:ascii="Times New Roman"/>
          <w:b/>
          <w:color w:val="2D4B70"/>
          <w:w w:val="95"/>
          <w:sz w:val="25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  <w:sz w:val="28"/>
        </w:rPr>
      </w:pPr>
    </w:p>
    <w:p>
      <w:pPr>
        <w:spacing w:line="256" w:lineRule="auto" w:before="92"/>
        <w:ind w:left="787" w:right="117" w:firstLine="0"/>
        <w:jc w:val="center"/>
        <w:rPr>
          <w:b/>
          <w:sz w:val="27"/>
        </w:rPr>
      </w:pPr>
      <w:r>
        <w:rPr/>
        <w:pict>
          <v:line style="position:absolute;mso-position-horizontal-relative:page;mso-position-vertical-relative:paragraph;z-index:15731712" from="85.527069pt,38.178619pt" to="514.245041pt,38.178619pt" stroked="true" strokeweight=".721232pt" strokecolor="#000000">
            <v:stroke dashstyle="solid"/>
            <w10:wrap type="none"/>
          </v:line>
        </w:pict>
      </w:r>
      <w:r>
        <w:rPr>
          <w:b/>
          <w:color w:val="262F2D"/>
          <w:w w:val="105"/>
          <w:sz w:val="27"/>
        </w:rPr>
        <w:t>AUSTRALIAN</w:t>
      </w:r>
      <w:r>
        <w:rPr>
          <w:b/>
          <w:color w:val="262F2D"/>
          <w:spacing w:val="-29"/>
          <w:w w:val="105"/>
          <w:sz w:val="27"/>
        </w:rPr>
        <w:t> </w:t>
      </w:r>
      <w:r>
        <w:rPr>
          <w:b/>
          <w:color w:val="262F2D"/>
          <w:w w:val="105"/>
          <w:sz w:val="27"/>
        </w:rPr>
        <w:t>CUSTOMS</w:t>
      </w:r>
      <w:r>
        <w:rPr>
          <w:b/>
          <w:color w:val="262F2D"/>
          <w:spacing w:val="-30"/>
          <w:w w:val="105"/>
          <w:sz w:val="27"/>
        </w:rPr>
        <w:t> </w:t>
      </w:r>
      <w:r>
        <w:rPr>
          <w:b/>
          <w:color w:val="262F2D"/>
          <w:w w:val="105"/>
          <w:sz w:val="27"/>
        </w:rPr>
        <w:t>AND</w:t>
      </w:r>
      <w:r>
        <w:rPr>
          <w:b/>
          <w:color w:val="262F2D"/>
          <w:spacing w:val="-40"/>
          <w:w w:val="105"/>
          <w:sz w:val="27"/>
        </w:rPr>
        <w:t> </w:t>
      </w:r>
      <w:r>
        <w:rPr>
          <w:b/>
          <w:color w:val="262F2D"/>
          <w:w w:val="105"/>
          <w:sz w:val="27"/>
        </w:rPr>
        <w:t>BORDER</w:t>
      </w:r>
      <w:r>
        <w:rPr>
          <w:b/>
          <w:color w:val="262F2D"/>
          <w:spacing w:val="-30"/>
          <w:w w:val="105"/>
          <w:sz w:val="27"/>
        </w:rPr>
        <w:t> </w:t>
      </w:r>
      <w:r>
        <w:rPr>
          <w:b/>
          <w:color w:val="262F2D"/>
          <w:w w:val="105"/>
          <w:sz w:val="27"/>
        </w:rPr>
        <w:t>PROTECTION</w:t>
      </w:r>
      <w:r>
        <w:rPr>
          <w:b/>
          <w:color w:val="262F2D"/>
          <w:spacing w:val="-25"/>
          <w:w w:val="105"/>
          <w:sz w:val="27"/>
        </w:rPr>
        <w:t> </w:t>
      </w:r>
      <w:r>
        <w:rPr>
          <w:b/>
          <w:color w:val="262F2D"/>
          <w:w w:val="105"/>
          <w:sz w:val="27"/>
        </w:rPr>
        <w:t>NOTICE NO.</w:t>
      </w:r>
      <w:r>
        <w:rPr>
          <w:b/>
          <w:color w:val="262F2D"/>
          <w:spacing w:val="-5"/>
          <w:w w:val="105"/>
          <w:sz w:val="27"/>
        </w:rPr>
        <w:t> </w:t>
      </w:r>
      <w:r>
        <w:rPr>
          <w:b/>
          <w:color w:val="262F2D"/>
          <w:w w:val="105"/>
          <w:sz w:val="27"/>
        </w:rPr>
        <w:t>2014/36</w:t>
      </w:r>
    </w:p>
    <w:p>
      <w:pPr>
        <w:pStyle w:val="BodyText"/>
        <w:spacing w:before="5"/>
        <w:rPr>
          <w:b/>
          <w:sz w:val="27"/>
        </w:rPr>
      </w:pPr>
    </w:p>
    <w:p>
      <w:pPr>
        <w:spacing w:line="244" w:lineRule="auto" w:before="1"/>
        <w:ind w:left="787" w:right="108" w:firstLine="0"/>
        <w:jc w:val="center"/>
        <w:rPr>
          <w:b/>
          <w:sz w:val="27"/>
        </w:rPr>
      </w:pPr>
      <w:r>
        <w:rPr>
          <w:b/>
          <w:color w:val="262F2D"/>
          <w:w w:val="105"/>
          <w:sz w:val="27"/>
        </w:rPr>
        <w:t>Revocation of Australian Customs Notice No. 2000/30 </w:t>
      </w:r>
      <w:r>
        <w:rPr>
          <w:b/>
          <w:color w:val="3D4446"/>
          <w:w w:val="105"/>
          <w:sz w:val="27"/>
        </w:rPr>
        <w:t>- </w:t>
      </w:r>
      <w:r>
        <w:rPr>
          <w:b/>
          <w:color w:val="262F2D"/>
          <w:w w:val="105"/>
          <w:sz w:val="27"/>
        </w:rPr>
        <w:t>Free </w:t>
      </w:r>
      <w:r>
        <w:rPr>
          <w:b/>
          <w:color w:val="3D4446"/>
          <w:w w:val="105"/>
          <w:sz w:val="27"/>
        </w:rPr>
        <w:t>into </w:t>
      </w:r>
      <w:r>
        <w:rPr>
          <w:b/>
          <w:color w:val="262F2D"/>
          <w:w w:val="105"/>
          <w:sz w:val="27"/>
        </w:rPr>
        <w:t>Store Transactions (DDP/DDU)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252" w:lineRule="auto"/>
        <w:ind w:left="690" w:right="251" w:hanging="2"/>
      </w:pPr>
      <w:r>
        <w:rPr>
          <w:color w:val="3D4446"/>
          <w:w w:val="105"/>
        </w:rPr>
        <w:t>The Australian Customs and Border Protection Service has revoked Australian Customs Notice (ACN) 2000</w:t>
      </w:r>
      <w:r>
        <w:rPr>
          <w:color w:val="5B6064"/>
          <w:w w:val="105"/>
        </w:rPr>
        <w:t>/</w:t>
      </w:r>
      <w:r>
        <w:rPr>
          <w:color w:val="3D4446"/>
          <w:w w:val="105"/>
        </w:rPr>
        <w:t>30 as it is out of date for a number of reasons</w:t>
      </w:r>
      <w:r>
        <w:rPr>
          <w:color w:val="5B6064"/>
          <w:w w:val="105"/>
        </w:rPr>
        <w:t>, </w:t>
      </w:r>
      <w:r>
        <w:rPr>
          <w:color w:val="3D4446"/>
          <w:w w:val="105"/>
        </w:rPr>
        <w:t>the most pertinent of which are outlined below</w:t>
      </w:r>
      <w:r>
        <w:rPr>
          <w:color w:val="5B6064"/>
          <w:w w:val="105"/>
        </w:rPr>
        <w:t>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423" w:val="left" w:leader="none"/>
          <w:tab w:pos="1424" w:val="left" w:leader="none"/>
        </w:tabs>
        <w:spacing w:line="252" w:lineRule="auto" w:before="0" w:after="0"/>
        <w:ind w:left="1417" w:right="422" w:hanging="360"/>
        <w:jc w:val="left"/>
        <w:rPr>
          <w:sz w:val="21"/>
        </w:rPr>
      </w:pPr>
      <w:r>
        <w:rPr>
          <w:color w:val="3D4446"/>
          <w:w w:val="105"/>
          <w:sz w:val="21"/>
        </w:rPr>
        <w:t>ACN 2000</w:t>
      </w:r>
      <w:r>
        <w:rPr>
          <w:color w:val="5B6064"/>
          <w:w w:val="105"/>
          <w:sz w:val="21"/>
        </w:rPr>
        <w:t>/</w:t>
      </w:r>
      <w:r>
        <w:rPr>
          <w:color w:val="3D4446"/>
          <w:w w:val="105"/>
          <w:sz w:val="21"/>
        </w:rPr>
        <w:t>30 was based on INCOTERMS 2000 rules </w:t>
      </w:r>
      <w:r>
        <w:rPr>
          <w:color w:val="5B6064"/>
          <w:w w:val="105"/>
          <w:sz w:val="21"/>
        </w:rPr>
        <w:t>(</w:t>
      </w:r>
      <w:r>
        <w:rPr>
          <w:color w:val="3D4446"/>
          <w:w w:val="105"/>
          <w:sz w:val="21"/>
        </w:rPr>
        <w:t>International Commercial Terms)</w:t>
      </w:r>
      <w:r>
        <w:rPr>
          <w:color w:val="5B6064"/>
          <w:w w:val="105"/>
          <w:sz w:val="21"/>
        </w:rPr>
        <w:t>, </w:t>
      </w:r>
      <w:r>
        <w:rPr>
          <w:color w:val="3D4446"/>
          <w:w w:val="105"/>
          <w:sz w:val="21"/>
        </w:rPr>
        <w:t>developed by the International Chamber of Commerce (ICC). INCOTERMS are a uniform set of rules to clarify the </w:t>
      </w:r>
      <w:r>
        <w:rPr>
          <w:color w:val="5B6064"/>
          <w:w w:val="105"/>
          <w:sz w:val="21"/>
        </w:rPr>
        <w:t>c</w:t>
      </w:r>
      <w:r>
        <w:rPr>
          <w:color w:val="3D4446"/>
          <w:w w:val="105"/>
          <w:sz w:val="21"/>
        </w:rPr>
        <w:t>osts</w:t>
      </w:r>
      <w:r>
        <w:rPr>
          <w:color w:val="5B6064"/>
          <w:w w:val="105"/>
          <w:sz w:val="21"/>
        </w:rPr>
        <w:t>, </w:t>
      </w:r>
      <w:r>
        <w:rPr>
          <w:color w:val="3D4446"/>
          <w:w w:val="105"/>
          <w:sz w:val="21"/>
        </w:rPr>
        <w:t>risks and obligations of buyers and sellers in international commerc</w:t>
      </w:r>
      <w:r>
        <w:rPr>
          <w:color w:val="5B6064"/>
          <w:w w:val="105"/>
          <w:sz w:val="21"/>
        </w:rPr>
        <w:t>i</w:t>
      </w:r>
      <w:r>
        <w:rPr>
          <w:color w:val="3D4446"/>
          <w:w w:val="105"/>
          <w:sz w:val="21"/>
        </w:rPr>
        <w:t>al</w:t>
      </w:r>
      <w:r>
        <w:rPr>
          <w:color w:val="3D4446"/>
          <w:spacing w:val="-36"/>
          <w:w w:val="105"/>
          <w:sz w:val="21"/>
        </w:rPr>
        <w:t> </w:t>
      </w:r>
      <w:r>
        <w:rPr>
          <w:color w:val="5B6064"/>
          <w:w w:val="105"/>
          <w:sz w:val="21"/>
        </w:rPr>
        <w:t>t</w:t>
      </w:r>
      <w:r>
        <w:rPr>
          <w:color w:val="3D4446"/>
          <w:w w:val="105"/>
          <w:sz w:val="21"/>
        </w:rPr>
        <w:t>ransactions</w:t>
      </w:r>
      <w:r>
        <w:rPr>
          <w:color w:val="5B6064"/>
          <w:w w:val="105"/>
          <w:sz w:val="21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59" w:lineRule="auto"/>
        <w:ind w:left="1421" w:firstLine="2"/>
      </w:pPr>
      <w:r>
        <w:rPr>
          <w:color w:val="3D4446"/>
          <w:w w:val="105"/>
        </w:rPr>
        <w:t>As a result of a review of INCOTERMS by the ICC in 2010</w:t>
      </w:r>
      <w:r>
        <w:rPr>
          <w:color w:val="5B6064"/>
          <w:w w:val="105"/>
        </w:rPr>
        <w:t>, </w:t>
      </w:r>
      <w:r>
        <w:rPr>
          <w:color w:val="3D4446"/>
          <w:w w:val="105"/>
        </w:rPr>
        <w:t>four terms (DOU</w:t>
      </w:r>
      <w:r>
        <w:rPr>
          <w:color w:val="5B6064"/>
          <w:w w:val="105"/>
        </w:rPr>
        <w:t>, </w:t>
      </w:r>
      <w:r>
        <w:rPr>
          <w:color w:val="3D4446"/>
          <w:w w:val="105"/>
        </w:rPr>
        <w:t>DES </w:t>
      </w:r>
      <w:r>
        <w:rPr>
          <w:color w:val="5B6064"/>
          <w:w w:val="105"/>
        </w:rPr>
        <w:t>, </w:t>
      </w:r>
      <w:r>
        <w:rPr>
          <w:color w:val="3D4446"/>
          <w:w w:val="105"/>
        </w:rPr>
        <w:t>DEQ and </w:t>
      </w:r>
      <w:r>
        <w:rPr>
          <w:color w:val="262F2D"/>
          <w:w w:val="105"/>
        </w:rPr>
        <w:t>OAF) </w:t>
      </w:r>
      <w:r>
        <w:rPr>
          <w:color w:val="3D4446"/>
          <w:w w:val="105"/>
        </w:rPr>
        <w:t>were removed and two terms (DAT and OAP) were added</w:t>
      </w:r>
      <w:r>
        <w:rPr>
          <w:color w:val="5B6064"/>
          <w:w w:val="105"/>
        </w:rPr>
        <w:t>, </w:t>
      </w:r>
      <w:r>
        <w:rPr>
          <w:color w:val="3D4446"/>
          <w:w w:val="105"/>
        </w:rPr>
        <w:t>resulting in a tota</w:t>
      </w:r>
      <w:r>
        <w:rPr>
          <w:color w:val="5B6064"/>
          <w:w w:val="105"/>
        </w:rPr>
        <w:t>l </w:t>
      </w:r>
      <w:r>
        <w:rPr>
          <w:color w:val="3D4446"/>
          <w:w w:val="105"/>
        </w:rPr>
        <w:t>of 11 terms</w:t>
      </w:r>
      <w:r>
        <w:rPr>
          <w:color w:val="5B6064"/>
          <w:w w:val="105"/>
        </w:rPr>
        <w:t>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417" w:val="left" w:leader="none"/>
          <w:tab w:pos="1418" w:val="left" w:leader="none"/>
        </w:tabs>
        <w:spacing w:line="259" w:lineRule="auto" w:before="0" w:after="0"/>
        <w:ind w:left="1427" w:right="190" w:hanging="363"/>
        <w:jc w:val="left"/>
        <w:rPr>
          <w:sz w:val="21"/>
        </w:rPr>
      </w:pPr>
      <w:r>
        <w:rPr>
          <w:color w:val="3D4446"/>
          <w:w w:val="105"/>
          <w:sz w:val="21"/>
        </w:rPr>
        <w:t>The ACN refers to the de-commissioned COMPILE system and Coded Owner Supplier (COS) </w:t>
      </w:r>
      <w:r>
        <w:rPr>
          <w:color w:val="3D4446"/>
          <w:spacing w:val="-4"/>
          <w:w w:val="105"/>
          <w:sz w:val="21"/>
        </w:rPr>
        <w:t>Codes</w:t>
      </w:r>
      <w:r>
        <w:rPr>
          <w:color w:val="5B6064"/>
          <w:spacing w:val="-4"/>
          <w:w w:val="105"/>
          <w:sz w:val="21"/>
        </w:rPr>
        <w:t>, </w:t>
      </w:r>
      <w:r>
        <w:rPr>
          <w:color w:val="3D4446"/>
          <w:w w:val="105"/>
          <w:sz w:val="21"/>
        </w:rPr>
        <w:t>which have been repla</w:t>
      </w:r>
      <w:r>
        <w:rPr>
          <w:color w:val="5B6064"/>
          <w:w w:val="105"/>
          <w:sz w:val="21"/>
        </w:rPr>
        <w:t>c</w:t>
      </w:r>
      <w:r>
        <w:rPr>
          <w:color w:val="3D4446"/>
          <w:w w:val="105"/>
          <w:sz w:val="21"/>
        </w:rPr>
        <w:t>ed by the Integrated Cargo System and Customs Client Identifiers</w:t>
      </w:r>
      <w:r>
        <w:rPr>
          <w:color w:val="3D4446"/>
          <w:spacing w:val="-8"/>
          <w:w w:val="105"/>
          <w:sz w:val="21"/>
        </w:rPr>
        <w:t> </w:t>
      </w:r>
      <w:r>
        <w:rPr>
          <w:color w:val="3D4446"/>
          <w:w w:val="105"/>
          <w:sz w:val="21"/>
        </w:rPr>
        <w:t>(CCIDs</w:t>
      </w:r>
      <w:r>
        <w:rPr>
          <w:color w:val="5B6064"/>
          <w:w w:val="105"/>
          <w:sz w:val="21"/>
        </w:rPr>
        <w:t>).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425" w:val="left" w:leader="none"/>
          <w:tab w:pos="1426" w:val="left" w:leader="none"/>
        </w:tabs>
        <w:spacing w:line="254" w:lineRule="auto" w:before="0" w:after="0"/>
        <w:ind w:left="1428" w:right="98" w:hanging="357"/>
        <w:jc w:val="left"/>
        <w:rPr>
          <w:sz w:val="21"/>
        </w:rPr>
      </w:pPr>
      <w:r>
        <w:rPr>
          <w:color w:val="3D4446"/>
          <w:w w:val="105"/>
          <w:sz w:val="21"/>
        </w:rPr>
        <w:t>The ACN states that the ACBPS will treat the entity shown as the owner on the customs entry as the entity liable to pay any penalty </w:t>
      </w:r>
      <w:r>
        <w:rPr>
          <w:color w:val="3D4446"/>
          <w:spacing w:val="-3"/>
          <w:w w:val="105"/>
          <w:sz w:val="21"/>
        </w:rPr>
        <w:t>wh</w:t>
      </w:r>
      <w:r>
        <w:rPr>
          <w:color w:val="5B6064"/>
          <w:spacing w:val="-3"/>
          <w:w w:val="105"/>
          <w:sz w:val="21"/>
        </w:rPr>
        <w:t>i</w:t>
      </w:r>
      <w:r>
        <w:rPr>
          <w:color w:val="3D4446"/>
          <w:spacing w:val="-3"/>
          <w:w w:val="105"/>
          <w:sz w:val="21"/>
        </w:rPr>
        <w:t>ch </w:t>
      </w:r>
      <w:r>
        <w:rPr>
          <w:color w:val="3D4446"/>
          <w:w w:val="105"/>
          <w:sz w:val="21"/>
        </w:rPr>
        <w:t>may be imposed pursuant to section 243T(1) of the </w:t>
      </w:r>
      <w:r>
        <w:rPr>
          <w:i/>
          <w:color w:val="3D4446"/>
          <w:w w:val="105"/>
          <w:sz w:val="21"/>
        </w:rPr>
        <w:t>Customs Act 1901</w:t>
      </w:r>
      <w:r>
        <w:rPr>
          <w:i/>
          <w:color w:val="5B6064"/>
          <w:w w:val="105"/>
          <w:sz w:val="21"/>
        </w:rPr>
        <w:t>. </w:t>
      </w:r>
      <w:r>
        <w:rPr>
          <w:color w:val="3D4446"/>
          <w:w w:val="105"/>
          <w:sz w:val="21"/>
        </w:rPr>
        <w:t>Section 243T penalties are no longer limited to</w:t>
      </w:r>
      <w:r>
        <w:rPr>
          <w:color w:val="3D4446"/>
          <w:spacing w:val="-30"/>
          <w:w w:val="105"/>
          <w:sz w:val="21"/>
        </w:rPr>
        <w:t> </w:t>
      </w:r>
      <w:r>
        <w:rPr>
          <w:color w:val="3D4446"/>
          <w:spacing w:val="-5"/>
          <w:w w:val="105"/>
          <w:sz w:val="21"/>
        </w:rPr>
        <w:t>owners</w:t>
      </w:r>
      <w:r>
        <w:rPr>
          <w:color w:val="5B6064"/>
          <w:spacing w:val="-5"/>
          <w:w w:val="105"/>
          <w:sz w:val="21"/>
        </w:rPr>
        <w:t>.</w:t>
      </w:r>
    </w:p>
    <w:p>
      <w:pPr>
        <w:pStyle w:val="BodyText"/>
        <w:spacing w:before="4"/>
      </w:pPr>
    </w:p>
    <w:p>
      <w:pPr>
        <w:pStyle w:val="BodyText"/>
        <w:ind w:left="715"/>
      </w:pPr>
      <w:r>
        <w:rPr>
          <w:color w:val="3D4446"/>
          <w:w w:val="105"/>
        </w:rPr>
        <w:t>As ACN 2000</w:t>
      </w:r>
      <w:r>
        <w:rPr>
          <w:color w:val="5B6064"/>
          <w:w w:val="105"/>
        </w:rPr>
        <w:t>/</w:t>
      </w:r>
      <w:r>
        <w:rPr>
          <w:color w:val="3D4446"/>
          <w:w w:val="105"/>
        </w:rPr>
        <w:t>30 pre-dates these changes it is </w:t>
      </w:r>
      <w:r>
        <w:rPr>
          <w:color w:val="262F2D"/>
          <w:w w:val="105"/>
        </w:rPr>
        <w:t>revoked</w:t>
      </w:r>
      <w:r>
        <w:rPr>
          <w:color w:val="5B6064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989948</wp:posOffset>
            </wp:positionH>
            <wp:positionV relativeFrom="paragraph">
              <wp:posOffset>134066</wp:posOffset>
            </wp:positionV>
            <wp:extent cx="1752328" cy="35204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328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56"/>
        <w:ind w:left="721" w:right="5898" w:hanging="1"/>
      </w:pPr>
      <w:r>
        <w:rPr>
          <w:color w:val="3D4446"/>
          <w:w w:val="105"/>
        </w:rPr>
        <w:t>Sharon Nyakuengama National Manager Customs </w:t>
      </w:r>
      <w:r>
        <w:rPr>
          <w:color w:val="262F2D"/>
          <w:w w:val="105"/>
        </w:rPr>
        <w:t>Branch</w:t>
      </w:r>
    </w:p>
    <w:p>
      <w:pPr>
        <w:pStyle w:val="BodyText"/>
        <w:spacing w:line="238" w:lineRule="exact"/>
        <w:ind w:left="725"/>
      </w:pPr>
      <w:r>
        <w:rPr>
          <w:color w:val="3D4446"/>
          <w:w w:val="105"/>
        </w:rPr>
        <w:t>Trade and Customs Division</w:t>
      </w:r>
    </w:p>
    <w:p>
      <w:pPr>
        <w:tabs>
          <w:tab w:pos="1048" w:val="left" w:leader="none"/>
        </w:tabs>
        <w:spacing w:before="130"/>
        <w:ind w:left="413" w:right="0" w:firstLine="0"/>
        <w:jc w:val="left"/>
        <w:rPr>
          <w:sz w:val="21"/>
        </w:rPr>
      </w:pPr>
      <w:r>
        <w:rPr>
          <w:i/>
          <w:color w:val="6974BC"/>
          <w:w w:val="80"/>
          <w:sz w:val="36"/>
        </w:rPr>
        <w:t>...J/</w:t>
        <w:tab/>
      </w:r>
      <w:r>
        <w:rPr>
          <w:color w:val="3D4446"/>
          <w:sz w:val="21"/>
        </w:rPr>
        <w:t>July</w:t>
      </w:r>
      <w:r>
        <w:rPr>
          <w:color w:val="3D4446"/>
          <w:spacing w:val="-1"/>
          <w:sz w:val="21"/>
        </w:rPr>
        <w:t> </w:t>
      </w:r>
      <w:r>
        <w:rPr>
          <w:color w:val="3D4446"/>
          <w:sz w:val="21"/>
        </w:rPr>
        <w:t>2014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pict>
          <v:shape style="position:absolute;margin-left:434.131073pt;margin-top:14.95068pt;width:31.4pt;height:.1pt;mso-position-horizontal-relative:page;mso-position-vertical-relative:paragraph;z-index:-15728128;mso-wrap-distance-left:0;mso-wrap-distance-right:0" coordorigin="8683,299" coordsize="628,0" path="m8683,299l9311,299e" filled="false" stroked="true" strokeweight=".36061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6.286804pt;margin-top:15.311296pt;width:46.2pt;height:.1pt;mso-position-horizontal-relative:page;mso-position-vertical-relative:paragraph;z-index:-15727616;mso-wrap-distance-left:0;mso-wrap-distance-right:0" coordorigin="7326,306" coordsize="924,0" path="m7326,306l8250,306e" filled="false" stroked="true" strokeweight=".36061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63.114914pt;margin-top:15.671912pt;width:39.35pt;height:.1pt;mso-position-horizontal-relative:page;mso-position-vertical-relative:paragraph;z-index:-15727104;mso-wrap-distance-left:0;mso-wrap-distance-right:0" coordorigin="3262,313" coordsize="787,0" path="m3262,313l4049,313e" filled="false" stroked="true" strokeweight=".360616pt" strokecolor="#000000">
            <v:path arrowok="t"/>
            <v:stroke dashstyle="solid"/>
            <w10:wrap type="topAndBottom"/>
          </v:shape>
        </w:pict>
      </w:r>
    </w:p>
    <w:sectPr>
      <w:type w:val="continuous"/>
      <w:pgSz w:w="11870" w:h="16840"/>
      <w:pgMar w:top="1080" w:bottom="0" w:left="106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17" w:hanging="366"/>
      </w:pPr>
      <w:rPr>
        <w:rFonts w:hint="default" w:ascii="Arial" w:hAnsi="Arial" w:eastAsia="Arial" w:cs="Arial"/>
        <w:color w:val="262F2D"/>
        <w:w w:val="109"/>
        <w:sz w:val="21"/>
        <w:szCs w:val="21"/>
      </w:rPr>
    </w:lvl>
    <w:lvl w:ilvl="1">
      <w:start w:val="0"/>
      <w:numFmt w:val="bullet"/>
      <w:lvlText w:val="•"/>
      <w:lvlJc w:val="left"/>
      <w:pPr>
        <w:ind w:left="2198" w:hanging="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7" w:hanging="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5" w:hanging="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4" w:hanging="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2" w:hanging="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1" w:hanging="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9" w:hanging="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8" w:hanging="36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88"/>
      <w:ind w:left="1601" w:firstLine="6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1417" w:right="98" w:hanging="36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2020-12-09T22:33:26Z</dcterms:created>
  <dcterms:modified xsi:type="dcterms:W3CDTF">2020-12-09T22:33:26Z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PaperPort 11.0</vt:lpwstr>
  </property>
  <property fmtid="{D5CDD505-2E9C-101B-9397-08002B2CF9AE}" pid="4" name="LastSaved">
    <vt:filetime>2020-12-09T00:00:00Z</vt:filetime>
  </property>
</Properties>
</file>