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ge;z-index:-15864832" from="13.462592pt,138.170425pt" to="580.814694pt,138.170425pt" stroked="true" strokeweight="6.488003pt" strokecolor="#000000">
            <v:stroke dashstyle="solid"/>
            <w10:wrap type="none"/>
          </v:line>
        </w:pict>
      </w:r>
    </w:p>
    <w:p>
      <w:pPr>
        <w:spacing w:before="90"/>
        <w:ind w:left="1613" w:right="0" w:firstLine="0"/>
        <w:jc w:val="left"/>
        <w:rPr>
          <w:rFonts w:ascii="Times New Roman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708324</wp:posOffset>
            </wp:positionH>
            <wp:positionV relativeFrom="paragraph">
              <wp:posOffset>-108973</wp:posOffset>
            </wp:positionV>
            <wp:extent cx="879299" cy="63476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299" cy="63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/>
      </w:r>
      <w:r>
        <w:rPr>
          <w:rFonts w:ascii="Times New Roman"/>
          <w:b/>
          <w:color w:val="1A3F66"/>
          <w:sz w:val="25"/>
          <w:u w:val="thick" w:color="1A3F66"/>
        </w:rPr>
        <w:t>Australian</w:t>
      </w:r>
      <w:r>
        <w:rPr>
          <w:rFonts w:ascii="Times New Roman"/>
          <w:b/>
          <w:color w:val="1A3F66"/>
          <w:spacing w:val="46"/>
          <w:sz w:val="25"/>
          <w:u w:val="thick" w:color="1A3F66"/>
        </w:rPr>
        <w:t> </w:t>
      </w:r>
      <w:r>
        <w:rPr>
          <w:rFonts w:ascii="Times New Roman"/>
          <w:b/>
          <w:color w:val="1A3F66"/>
          <w:sz w:val="25"/>
          <w:u w:val="thick" w:color="1A3F66"/>
        </w:rPr>
        <w:t>Government</w:t>
      </w:r>
    </w:p>
    <w:p>
      <w:pPr>
        <w:spacing w:line="252" w:lineRule="auto" w:before="131"/>
        <w:ind w:left="1615" w:right="4523" w:hanging="2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color w:val="1A3F66"/>
          <w:sz w:val="25"/>
        </w:rPr>
        <w:t>Australian Customs and </w:t>
      </w:r>
      <w:r>
        <w:rPr>
          <w:rFonts w:ascii="Times New Roman"/>
          <w:b/>
          <w:color w:val="1A3F66"/>
          <w:w w:val="95"/>
          <w:sz w:val="25"/>
        </w:rPr>
        <w:t>Border Protection</w:t>
      </w:r>
      <w:r>
        <w:rPr>
          <w:rFonts w:ascii="Times New Roman"/>
          <w:b/>
          <w:color w:val="1A3F66"/>
          <w:spacing w:val="-39"/>
          <w:w w:val="95"/>
          <w:sz w:val="25"/>
        </w:rPr>
        <w:t> </w:t>
      </w:r>
      <w:r>
        <w:rPr>
          <w:rFonts w:ascii="Times New Roman"/>
          <w:b/>
          <w:color w:val="1A3F66"/>
          <w:w w:val="95"/>
          <w:sz w:val="25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pStyle w:val="Title"/>
        <w:spacing w:line="252" w:lineRule="auto" w:before="92" w:after="14"/>
      </w:pPr>
      <w:r>
        <w:rPr>
          <w:color w:val="313434"/>
        </w:rPr>
        <w:t>AUSTRALIAN CUSTOMS AND BORDER PROTECTION NOTICE NO. 2014/41</w:t>
      </w:r>
    </w:p>
    <w:p>
      <w:pPr>
        <w:pStyle w:val="BodyText"/>
        <w:spacing w:line="20" w:lineRule="exact"/>
        <w:ind w:left="648"/>
        <w:rPr>
          <w:sz w:val="2"/>
        </w:rPr>
      </w:pPr>
      <w:r>
        <w:rPr>
          <w:sz w:val="2"/>
        </w:rPr>
        <w:pict>
          <v:group style="width:428.9pt;height:.5pt;mso-position-horizontal-relative:char;mso-position-vertical-relative:line" coordorigin="0,0" coordsize="8578,10">
            <v:line style="position:absolute" from="0,5" to="8578,5" stroked="true" strokeweight=".48059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23"/>
        </w:rPr>
      </w:pPr>
    </w:p>
    <w:p>
      <w:pPr>
        <w:pStyle w:val="Title"/>
        <w:ind w:left="2021" w:right="1586"/>
        <w:jc w:val="center"/>
      </w:pPr>
      <w:r>
        <w:rPr>
          <w:color w:val="313434"/>
        </w:rPr>
        <w:t>Consolidated list of current fees and charges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249" w:lineRule="auto" w:before="1"/>
        <w:ind w:left="695" w:right="341" w:firstLine="2"/>
      </w:pPr>
      <w:r>
        <w:rPr>
          <w:color w:val="313434"/>
          <w:w w:val="105"/>
        </w:rPr>
        <w:t>This Australian Customs and Border Protection Notice provides a s</w:t>
      </w:r>
      <w:r>
        <w:rPr>
          <w:color w:val="525657"/>
          <w:w w:val="105"/>
        </w:rPr>
        <w:t>i</w:t>
      </w:r>
      <w:r>
        <w:rPr>
          <w:color w:val="313434"/>
          <w:w w:val="105"/>
        </w:rPr>
        <w:t>ngle listing of all current fees and charges for declarations and licences co</w:t>
      </w:r>
      <w:r>
        <w:rPr>
          <w:color w:val="525657"/>
          <w:w w:val="105"/>
        </w:rPr>
        <w:t>ll</w:t>
      </w:r>
      <w:r>
        <w:rPr>
          <w:color w:val="313434"/>
          <w:w w:val="105"/>
        </w:rPr>
        <w:t>ected by the Australian Customs and Borde</w:t>
      </w:r>
      <w:r>
        <w:rPr>
          <w:color w:val="525657"/>
          <w:w w:val="105"/>
        </w:rPr>
        <w:t>r </w:t>
      </w:r>
      <w:r>
        <w:rPr>
          <w:color w:val="313434"/>
          <w:w w:val="105"/>
        </w:rPr>
        <w:t>Protection Service (ACBPS). Notices 2006/21 and 2013/66 are repealed.</w:t>
      </w:r>
    </w:p>
    <w:p>
      <w:pPr>
        <w:pStyle w:val="BodyText"/>
        <w:spacing w:before="5"/>
        <w:ind w:left="697"/>
      </w:pPr>
      <w:r>
        <w:rPr>
          <w:color w:val="313434"/>
          <w:w w:val="105"/>
        </w:rPr>
        <w:t>There are no changes to any of the fee or charge amounts.</w:t>
      </w:r>
    </w:p>
    <w:p>
      <w:pPr>
        <w:pStyle w:val="BodyText"/>
        <w:spacing w:before="6"/>
      </w:pPr>
    </w:p>
    <w:tbl>
      <w:tblPr>
        <w:tblW w:w="0" w:type="auto"/>
        <w:jc w:val="left"/>
        <w:tblInd w:w="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1"/>
        <w:gridCol w:w="2057"/>
        <w:gridCol w:w="2937"/>
      </w:tblGrid>
      <w:tr>
        <w:trPr>
          <w:trHeight w:val="505" w:hRule="atLeast"/>
        </w:trPr>
        <w:tc>
          <w:tcPr>
            <w:tcW w:w="8715" w:type="dxa"/>
            <w:gridSpan w:val="3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2"/>
              <w:ind w:left="2371" w:right="2339"/>
              <w:jc w:val="center"/>
              <w:rPr>
                <w:b/>
                <w:sz w:val="27"/>
              </w:rPr>
            </w:pPr>
            <w:r>
              <w:rPr>
                <w:b/>
                <w:color w:val="F0F2F2"/>
                <w:sz w:val="27"/>
                <w:shd w:fill="1C2623" w:color="auto" w:val="clear"/>
              </w:rPr>
              <w:t>Schedule of Fees and Charges</w:t>
            </w:r>
          </w:p>
        </w:tc>
      </w:tr>
      <w:tr>
        <w:trPr>
          <w:trHeight w:val="342" w:hRule="atLeast"/>
        </w:trPr>
        <w:tc>
          <w:tcPr>
            <w:tcW w:w="8715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624" w:val="left" w:leader="none"/>
                <w:tab w:pos="4079" w:val="left" w:leader="none"/>
                <w:tab w:pos="6632" w:val="left" w:leader="none"/>
              </w:tabs>
              <w:spacing w:line="314" w:lineRule="exact" w:before="0"/>
              <w:ind w:left="1590"/>
              <w:rPr>
                <w:b/>
                <w:sz w:val="23"/>
              </w:rPr>
            </w:pPr>
            <w:r>
              <w:rPr>
                <w:b/>
                <w:color w:val="313434"/>
                <w:sz w:val="23"/>
              </w:rPr>
              <w:t>Item</w:t>
              <w:tab/>
            </w:r>
            <w:r>
              <w:rPr>
                <w:color w:val="909393"/>
                <w:sz w:val="32"/>
              </w:rPr>
              <w:t>I</w:t>
              <w:tab/>
            </w:r>
            <w:r>
              <w:rPr>
                <w:b/>
                <w:color w:val="313434"/>
                <w:sz w:val="23"/>
              </w:rPr>
              <w:t>Fee/Charge</w:t>
              <w:tab/>
            </w:r>
            <w:r>
              <w:rPr>
                <w:b/>
                <w:color w:val="313434"/>
                <w:position w:val="1"/>
                <w:sz w:val="23"/>
              </w:rPr>
              <w:t>Payable</w:t>
            </w:r>
            <w:r>
              <w:rPr>
                <w:b/>
                <w:color w:val="313434"/>
                <w:spacing w:val="19"/>
                <w:position w:val="1"/>
                <w:sz w:val="23"/>
              </w:rPr>
              <w:t> </w:t>
            </w:r>
            <w:r>
              <w:rPr>
                <w:b/>
                <w:color w:val="313434"/>
                <w:position w:val="1"/>
                <w:sz w:val="23"/>
              </w:rPr>
              <w:t>by</w:t>
            </w:r>
          </w:p>
        </w:tc>
      </w:tr>
      <w:tr>
        <w:trPr>
          <w:trHeight w:val="1311" w:hRule="atLeast"/>
        </w:trPr>
        <w:tc>
          <w:tcPr>
            <w:tcW w:w="8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5"/>
              <w:ind w:left="122"/>
              <w:rPr>
                <w:b/>
                <w:sz w:val="23"/>
              </w:rPr>
            </w:pPr>
            <w:r>
              <w:rPr>
                <w:b/>
                <w:color w:val="313434"/>
                <w:w w:val="105"/>
                <w:sz w:val="23"/>
              </w:rPr>
              <w:t>Electronic</w:t>
            </w:r>
          </w:p>
          <w:p>
            <w:pPr>
              <w:pStyle w:val="TableParagraph"/>
              <w:spacing w:line="400" w:lineRule="atLeast" w:before="0"/>
              <w:ind w:left="124" w:right="1834" w:firstLine="3"/>
              <w:rPr>
                <w:b/>
                <w:sz w:val="23"/>
              </w:rPr>
            </w:pPr>
            <w:r>
              <w:rPr>
                <w:b/>
                <w:color w:val="313434"/>
                <w:w w:val="105"/>
                <w:sz w:val="23"/>
              </w:rPr>
              <w:t>Import Declaration (N10) and Warehouse Declaration (N20) charge per declaration</w:t>
            </w:r>
          </w:p>
        </w:tc>
      </w:tr>
      <w:tr>
        <w:trPr>
          <w:trHeight w:val="826" w:hRule="atLeast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81"/>
              <w:ind w:left="126" w:right="295" w:hanging="2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Consignment value more than $1000 but less than $10</w:t>
            </w:r>
            <w:r>
              <w:rPr>
                <w:color w:val="525657"/>
                <w:w w:val="105"/>
                <w:sz w:val="19"/>
              </w:rPr>
              <w:t>,</w:t>
            </w:r>
            <w:r>
              <w:rPr>
                <w:color w:val="313434"/>
                <w:w w:val="105"/>
                <w:sz w:val="19"/>
              </w:rPr>
              <w:t>000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39" w:val="left" w:leader="none"/>
              </w:tabs>
              <w:spacing w:line="350" w:lineRule="atLeast" w:before="7"/>
              <w:ind w:left="63" w:right="594" w:hanging="5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Sea</w:t>
              <w:tab/>
            </w:r>
            <w:r>
              <w:rPr>
                <w:color w:val="313434"/>
                <w:sz w:val="19"/>
              </w:rPr>
              <w:t>$50.00 </w:t>
            </w:r>
            <w:r>
              <w:rPr>
                <w:color w:val="313434"/>
                <w:w w:val="105"/>
                <w:sz w:val="19"/>
              </w:rPr>
              <w:t>Air/Post</w:t>
            </w:r>
            <w:r>
              <w:rPr>
                <w:color w:val="313434"/>
                <w:spacing w:val="15"/>
                <w:w w:val="105"/>
                <w:sz w:val="19"/>
              </w:rPr>
              <w:t> </w:t>
            </w:r>
            <w:r>
              <w:rPr>
                <w:color w:val="313434"/>
                <w:w w:val="105"/>
                <w:sz w:val="19"/>
              </w:rPr>
              <w:t>$40</w:t>
            </w:r>
            <w:r>
              <w:rPr>
                <w:color w:val="525657"/>
                <w:w w:val="105"/>
                <w:sz w:val="19"/>
              </w:rPr>
              <w:t>.</w:t>
            </w:r>
            <w:r>
              <w:rPr>
                <w:color w:val="313434"/>
                <w:w w:val="105"/>
                <w:sz w:val="19"/>
              </w:rPr>
              <w:t>20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81"/>
              <w:ind w:left="127" w:right="125" w:hanging="2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The owner</w:t>
            </w:r>
            <w:r>
              <w:rPr>
                <w:color w:val="525657"/>
                <w:w w:val="105"/>
                <w:sz w:val="19"/>
              </w:rPr>
              <w:t>, </w:t>
            </w:r>
            <w:r>
              <w:rPr>
                <w:color w:val="313434"/>
                <w:w w:val="105"/>
                <w:sz w:val="19"/>
              </w:rPr>
              <w:t>when the declaration is communicated to ACBPS</w:t>
            </w:r>
          </w:p>
        </w:tc>
      </w:tr>
      <w:tr>
        <w:trPr>
          <w:trHeight w:val="821" w:hRule="atLeast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124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Consignment Value</w:t>
            </w:r>
          </w:p>
          <w:p>
            <w:pPr>
              <w:pStyle w:val="TableParagraph"/>
              <w:spacing w:before="70"/>
              <w:ind w:left="127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$10,000 or more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02" w:val="left" w:leader="none"/>
              </w:tabs>
              <w:spacing w:line="340" w:lineRule="atLeast" w:before="17"/>
              <w:ind w:left="63" w:right="425" w:hanging="5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Sea</w:t>
              <w:tab/>
            </w:r>
            <w:r>
              <w:rPr>
                <w:color w:val="313434"/>
                <w:spacing w:val="-4"/>
                <w:w w:val="105"/>
                <w:sz w:val="19"/>
              </w:rPr>
              <w:t>$152</w:t>
            </w:r>
            <w:r>
              <w:rPr>
                <w:color w:val="525657"/>
                <w:spacing w:val="-4"/>
                <w:w w:val="105"/>
                <w:sz w:val="19"/>
              </w:rPr>
              <w:t>.</w:t>
            </w:r>
            <w:r>
              <w:rPr>
                <w:color w:val="313434"/>
                <w:spacing w:val="-4"/>
                <w:w w:val="105"/>
                <w:sz w:val="19"/>
              </w:rPr>
              <w:t>60 </w:t>
            </w:r>
            <w:r>
              <w:rPr>
                <w:color w:val="313434"/>
                <w:w w:val="105"/>
                <w:sz w:val="19"/>
              </w:rPr>
              <w:t>Air/Post</w:t>
            </w:r>
            <w:r>
              <w:rPr>
                <w:color w:val="313434"/>
                <w:spacing w:val="52"/>
                <w:w w:val="105"/>
                <w:sz w:val="19"/>
              </w:rPr>
              <w:t> </w:t>
            </w:r>
            <w:r>
              <w:rPr>
                <w:color w:val="313434"/>
                <w:w w:val="105"/>
                <w:sz w:val="19"/>
              </w:rPr>
              <w:t>$122</w:t>
            </w:r>
            <w:r>
              <w:rPr>
                <w:color w:val="525657"/>
                <w:w w:val="105"/>
                <w:sz w:val="19"/>
              </w:rPr>
              <w:t>.</w:t>
            </w:r>
            <w:r>
              <w:rPr>
                <w:color w:val="313434"/>
                <w:w w:val="105"/>
                <w:sz w:val="19"/>
              </w:rPr>
              <w:t>10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76"/>
              <w:ind w:left="127" w:right="251" w:hanging="2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The owner</w:t>
            </w:r>
            <w:r>
              <w:rPr>
                <w:color w:val="525657"/>
                <w:w w:val="105"/>
                <w:sz w:val="19"/>
              </w:rPr>
              <w:t>, </w:t>
            </w:r>
            <w:r>
              <w:rPr>
                <w:color w:val="313434"/>
                <w:w w:val="105"/>
                <w:sz w:val="19"/>
              </w:rPr>
              <w:t>when the declaration is commun</w:t>
            </w:r>
            <w:r>
              <w:rPr>
                <w:color w:val="525657"/>
                <w:w w:val="105"/>
                <w:sz w:val="19"/>
              </w:rPr>
              <w:t>i</w:t>
            </w:r>
            <w:r>
              <w:rPr>
                <w:color w:val="313434"/>
                <w:w w:val="105"/>
                <w:sz w:val="19"/>
              </w:rPr>
              <w:t>cated toACBPS</w:t>
            </w:r>
          </w:p>
        </w:tc>
      </w:tr>
      <w:tr>
        <w:trPr>
          <w:trHeight w:val="1311" w:hRule="atLeast"/>
        </w:trPr>
        <w:tc>
          <w:tcPr>
            <w:tcW w:w="8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left="127"/>
              <w:rPr>
                <w:b/>
                <w:sz w:val="23"/>
              </w:rPr>
            </w:pPr>
            <w:r>
              <w:rPr>
                <w:b/>
                <w:color w:val="313434"/>
                <w:sz w:val="23"/>
              </w:rPr>
              <w:t>Documentary</w:t>
            </w:r>
          </w:p>
          <w:p>
            <w:pPr>
              <w:pStyle w:val="TableParagraph"/>
              <w:spacing w:line="390" w:lineRule="atLeast" w:before="9"/>
              <w:ind w:left="129" w:right="1082" w:hanging="2"/>
              <w:rPr>
                <w:b/>
                <w:sz w:val="23"/>
              </w:rPr>
            </w:pPr>
            <w:r>
              <w:rPr>
                <w:b/>
                <w:color w:val="313434"/>
                <w:w w:val="105"/>
                <w:sz w:val="23"/>
              </w:rPr>
              <w:t>Import Declaration (N10) and Warehouse Declaration (N20) charge per declaration</w:t>
            </w:r>
          </w:p>
        </w:tc>
      </w:tr>
      <w:tr>
        <w:trPr>
          <w:trHeight w:val="826" w:hRule="atLeast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76"/>
              <w:ind w:left="131" w:right="290" w:hanging="2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Consignment value more than $1000 but less than $10,000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9" w:val="left" w:leader="none"/>
              </w:tabs>
              <w:spacing w:line="340" w:lineRule="atLeast" w:before="17"/>
              <w:ind w:left="67" w:right="602" w:hanging="5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Sea</w:t>
              <w:tab/>
            </w:r>
            <w:r>
              <w:rPr>
                <w:color w:val="313434"/>
                <w:spacing w:val="-3"/>
                <w:sz w:val="19"/>
              </w:rPr>
              <w:t>$65.75 </w:t>
            </w:r>
            <w:r>
              <w:rPr>
                <w:color w:val="313434"/>
                <w:w w:val="105"/>
                <w:sz w:val="19"/>
              </w:rPr>
              <w:t>Air/Post</w:t>
            </w:r>
            <w:r>
              <w:rPr>
                <w:color w:val="313434"/>
                <w:spacing w:val="-7"/>
                <w:w w:val="105"/>
                <w:sz w:val="19"/>
              </w:rPr>
              <w:t> </w:t>
            </w:r>
            <w:r>
              <w:rPr>
                <w:color w:val="313434"/>
                <w:w w:val="105"/>
                <w:sz w:val="19"/>
              </w:rPr>
              <w:t>$48.85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76"/>
              <w:ind w:right="125" w:hanging="2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The owner</w:t>
            </w:r>
            <w:r>
              <w:rPr>
                <w:color w:val="525657"/>
                <w:w w:val="105"/>
                <w:sz w:val="19"/>
              </w:rPr>
              <w:t>, </w:t>
            </w:r>
            <w:r>
              <w:rPr>
                <w:color w:val="313434"/>
                <w:w w:val="105"/>
                <w:sz w:val="19"/>
              </w:rPr>
              <w:t>when the declaration is communicated toACBPS</w:t>
            </w:r>
          </w:p>
        </w:tc>
      </w:tr>
      <w:tr>
        <w:trPr>
          <w:trHeight w:val="811" w:hRule="atLeast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9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Consignment Value $10,000 or more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9" w:val="left" w:leader="none"/>
              </w:tabs>
              <w:spacing w:line="340" w:lineRule="atLeast" w:before="12"/>
              <w:ind w:left="72" w:right="487" w:hanging="5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Sea</w:t>
              <w:tab/>
            </w:r>
            <w:r>
              <w:rPr>
                <w:color w:val="313434"/>
                <w:spacing w:val="-3"/>
                <w:w w:val="105"/>
                <w:sz w:val="19"/>
              </w:rPr>
              <w:t>$152.60 </w:t>
            </w:r>
            <w:r>
              <w:rPr>
                <w:color w:val="313434"/>
                <w:w w:val="105"/>
                <w:sz w:val="19"/>
              </w:rPr>
              <w:t>Air/Post</w:t>
            </w:r>
            <w:r>
              <w:rPr>
                <w:color w:val="313434"/>
                <w:spacing w:val="-2"/>
                <w:w w:val="105"/>
                <w:sz w:val="19"/>
              </w:rPr>
              <w:t> </w:t>
            </w:r>
            <w:r>
              <w:rPr>
                <w:color w:val="313434"/>
                <w:w w:val="105"/>
                <w:sz w:val="19"/>
              </w:rPr>
              <w:t>$122.10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71"/>
              <w:ind w:left="137" w:right="125" w:hanging="7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The owner, when the declaration is communicated to ACBPS</w:t>
            </w:r>
          </w:p>
        </w:tc>
      </w:tr>
      <w:tr>
        <w:trPr>
          <w:trHeight w:val="1311" w:hRule="atLeast"/>
        </w:trPr>
        <w:tc>
          <w:tcPr>
            <w:tcW w:w="8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57" w:lineRule="auto" w:before="135"/>
              <w:ind w:left="133" w:right="4339" w:hanging="1"/>
              <w:rPr>
                <w:b/>
                <w:sz w:val="23"/>
              </w:rPr>
            </w:pPr>
            <w:r>
              <w:rPr>
                <w:b/>
                <w:color w:val="313434"/>
                <w:w w:val="105"/>
                <w:sz w:val="23"/>
              </w:rPr>
              <w:t>Import Declaration (N30) Warehoused Goods Declaration Fee</w:t>
            </w:r>
          </w:p>
          <w:p>
            <w:pPr>
              <w:pStyle w:val="TableParagraph"/>
              <w:spacing w:before="4"/>
              <w:rPr>
                <w:b/>
                <w:sz w:val="23"/>
              </w:rPr>
            </w:pPr>
            <w:r>
              <w:rPr>
                <w:b/>
                <w:color w:val="313434"/>
                <w:w w:val="105"/>
                <w:sz w:val="23"/>
              </w:rPr>
              <w:t>Fee per declaration</w:t>
            </w:r>
          </w:p>
        </w:tc>
      </w:tr>
      <w:tr>
        <w:trPr>
          <w:trHeight w:val="303" w:hRule="atLeast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2" w:lineRule="exact" w:before="71"/>
              <w:ind w:left="133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Electronic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2" w:lineRule="exact" w:before="71"/>
              <w:ind w:left="75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$23.20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08" w:lineRule="exact" w:before="76"/>
              <w:ind w:left="140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The owner, when the</w:t>
            </w:r>
          </w:p>
        </w:tc>
      </w:tr>
      <w:tr>
        <w:trPr>
          <w:trHeight w:val="230" w:hRule="atLeast"/>
        </w:trPr>
        <w:tc>
          <w:tcPr>
            <w:tcW w:w="37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08" w:lineRule="exact" w:before="3"/>
              <w:ind w:left="143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declaration is communicated</w:t>
            </w:r>
          </w:p>
        </w:tc>
      </w:tr>
      <w:tr>
        <w:trPr>
          <w:trHeight w:val="392" w:hRule="atLeast"/>
        </w:trPr>
        <w:tc>
          <w:tcPr>
            <w:tcW w:w="3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34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Documentary</w:t>
            </w:r>
          </w:p>
        </w:tc>
        <w:tc>
          <w:tcPr>
            <w:tcW w:w="20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75"/>
              <w:rPr>
                <w:sz w:val="19"/>
              </w:rPr>
            </w:pPr>
            <w:r>
              <w:rPr>
                <w:color w:val="313434"/>
                <w:w w:val="105"/>
                <w:sz w:val="19"/>
              </w:rPr>
              <w:t>$60.00</w:t>
            </w:r>
          </w:p>
        </w:tc>
        <w:tc>
          <w:tcPr>
            <w:tcW w:w="2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42"/>
              <w:rPr>
                <w:sz w:val="19"/>
              </w:rPr>
            </w:pPr>
            <w:r>
              <w:rPr>
                <w:color w:val="313434"/>
                <w:w w:val="110"/>
                <w:sz w:val="19"/>
              </w:rPr>
              <w:t>toACBPS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top="1120" w:bottom="280" w:left="1000" w:right="1460"/>
        </w:sectPr>
      </w:pPr>
    </w:p>
    <w:tbl>
      <w:tblPr>
        <w:tblW w:w="0" w:type="auto"/>
        <w:jc w:val="left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3116"/>
        <w:gridCol w:w="2943"/>
      </w:tblGrid>
      <w:tr>
        <w:trPr>
          <w:trHeight w:val="388" w:hRule="atLeast"/>
        </w:trPr>
        <w:tc>
          <w:tcPr>
            <w:tcW w:w="2664" w:type="dxa"/>
          </w:tcPr>
          <w:p>
            <w:pPr>
              <w:pStyle w:val="TableParagraph"/>
              <w:ind w:left="1072" w:right="1045"/>
              <w:jc w:val="center"/>
              <w:rPr>
                <w:b/>
                <w:sz w:val="23"/>
              </w:rPr>
            </w:pPr>
            <w:bookmarkStart w:name="Page 2" w:id="2"/>
            <w:bookmarkEnd w:id="2"/>
            <w:r>
              <w:rPr/>
            </w:r>
            <w:r>
              <w:rPr>
                <w:b/>
                <w:color w:val="343434"/>
                <w:w w:val="105"/>
                <w:sz w:val="23"/>
              </w:rPr>
              <w:t>Item</w:t>
            </w:r>
          </w:p>
        </w:tc>
        <w:tc>
          <w:tcPr>
            <w:tcW w:w="3116" w:type="dxa"/>
          </w:tcPr>
          <w:p>
            <w:pPr>
              <w:pStyle w:val="TableParagraph"/>
              <w:ind w:left="920"/>
              <w:rPr>
                <w:b/>
                <w:sz w:val="23"/>
              </w:rPr>
            </w:pPr>
            <w:r>
              <w:rPr>
                <w:b/>
                <w:color w:val="242626"/>
                <w:w w:val="105"/>
                <w:sz w:val="23"/>
              </w:rPr>
              <w:t>Fee/Charge</w:t>
            </w:r>
          </w:p>
        </w:tc>
        <w:tc>
          <w:tcPr>
            <w:tcW w:w="2943" w:type="dxa"/>
          </w:tcPr>
          <w:p>
            <w:pPr>
              <w:pStyle w:val="TableParagraph"/>
              <w:ind w:left="847"/>
              <w:rPr>
                <w:b/>
                <w:sz w:val="23"/>
              </w:rPr>
            </w:pPr>
            <w:r>
              <w:rPr>
                <w:b/>
                <w:color w:val="343434"/>
                <w:w w:val="105"/>
                <w:sz w:val="23"/>
              </w:rPr>
              <w:t>Payable by</w:t>
            </w:r>
          </w:p>
        </w:tc>
      </w:tr>
      <w:tr>
        <w:trPr>
          <w:trHeight w:val="427" w:hRule="atLeast"/>
        </w:trPr>
        <w:tc>
          <w:tcPr>
            <w:tcW w:w="8723" w:type="dxa"/>
            <w:gridSpan w:val="3"/>
          </w:tcPr>
          <w:p>
            <w:pPr>
              <w:pStyle w:val="TableParagraph"/>
              <w:spacing w:before="81"/>
              <w:ind w:left="122"/>
              <w:rPr>
                <w:b/>
                <w:sz w:val="23"/>
              </w:rPr>
            </w:pPr>
            <w:r>
              <w:rPr>
                <w:b/>
                <w:color w:val="343434"/>
                <w:w w:val="105"/>
                <w:sz w:val="23"/>
              </w:rPr>
              <w:t>Depot Licences</w:t>
            </w:r>
          </w:p>
        </w:tc>
      </w:tr>
      <w:tr>
        <w:trPr>
          <w:trHeight w:val="1037" w:hRule="atLeast"/>
        </w:trPr>
        <w:tc>
          <w:tcPr>
            <w:tcW w:w="2664" w:type="dxa"/>
          </w:tcPr>
          <w:p>
            <w:pPr>
              <w:pStyle w:val="TableParagraph"/>
              <w:spacing w:line="247" w:lineRule="auto"/>
              <w:ind w:left="124" w:right="209" w:hanging="6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Depot Licence Application Charge</w:t>
            </w:r>
          </w:p>
        </w:tc>
        <w:tc>
          <w:tcPr>
            <w:tcW w:w="3116" w:type="dxa"/>
          </w:tcPr>
          <w:p>
            <w:pPr>
              <w:pStyle w:val="TableParagraph"/>
              <w:spacing w:before="61"/>
              <w:ind w:left="127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$3000</w:t>
            </w:r>
          </w:p>
          <w:p>
            <w:pPr>
              <w:pStyle w:val="TableParagraph"/>
              <w:spacing w:line="254" w:lineRule="auto" w:before="74"/>
              <w:ind w:left="127" w:right="203" w:hanging="6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(pro rata </w:t>
            </w:r>
            <w:r>
              <w:rPr>
                <w:color w:val="444444"/>
                <w:w w:val="105"/>
                <w:sz w:val="19"/>
              </w:rPr>
              <w:t>calculation if less than 12 </w:t>
            </w:r>
            <w:r>
              <w:rPr>
                <w:color w:val="343434"/>
                <w:w w:val="105"/>
                <w:sz w:val="19"/>
              </w:rPr>
              <w:t>months)</w:t>
            </w:r>
          </w:p>
        </w:tc>
        <w:tc>
          <w:tcPr>
            <w:tcW w:w="2943" w:type="dxa"/>
          </w:tcPr>
          <w:p>
            <w:pPr>
              <w:pStyle w:val="TableParagraph"/>
              <w:spacing w:line="252" w:lineRule="auto"/>
              <w:ind w:left="116" w:right="151" w:firstLine="2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New Applicants for a </w:t>
            </w:r>
            <w:r>
              <w:rPr>
                <w:color w:val="444444"/>
                <w:w w:val="105"/>
                <w:sz w:val="19"/>
              </w:rPr>
              <w:t>depot </w:t>
            </w:r>
            <w:r>
              <w:rPr>
                <w:color w:val="343434"/>
                <w:w w:val="105"/>
                <w:sz w:val="19"/>
              </w:rPr>
              <w:t>licence</w:t>
            </w:r>
            <w:r>
              <w:rPr>
                <w:color w:val="5B605D"/>
                <w:w w:val="105"/>
                <w:sz w:val="19"/>
              </w:rPr>
              <w:t>. </w:t>
            </w:r>
            <w:r>
              <w:rPr>
                <w:color w:val="343434"/>
                <w:w w:val="105"/>
                <w:sz w:val="19"/>
              </w:rPr>
              <w:t>Must be paid at </w:t>
            </w:r>
            <w:r>
              <w:rPr>
                <w:color w:val="444444"/>
                <w:w w:val="105"/>
                <w:sz w:val="19"/>
              </w:rPr>
              <w:t>the </w:t>
            </w:r>
            <w:r>
              <w:rPr>
                <w:color w:val="343434"/>
                <w:w w:val="105"/>
                <w:sz w:val="19"/>
              </w:rPr>
              <w:t>time of applying for </w:t>
            </w:r>
            <w:r>
              <w:rPr>
                <w:color w:val="444444"/>
                <w:w w:val="105"/>
                <w:sz w:val="19"/>
              </w:rPr>
              <w:t>the </w:t>
            </w:r>
            <w:r>
              <w:rPr>
                <w:color w:val="343434"/>
                <w:w w:val="105"/>
                <w:sz w:val="19"/>
              </w:rPr>
              <w:t>licence</w:t>
            </w:r>
            <w:r>
              <w:rPr>
                <w:color w:val="5B605D"/>
                <w:w w:val="105"/>
                <w:sz w:val="19"/>
              </w:rPr>
              <w:t>.</w:t>
            </w:r>
          </w:p>
        </w:tc>
      </w:tr>
      <w:tr>
        <w:trPr>
          <w:trHeight w:val="927" w:hRule="atLeast"/>
        </w:trPr>
        <w:tc>
          <w:tcPr>
            <w:tcW w:w="2664" w:type="dxa"/>
            <w:vMerge w:val="restart"/>
          </w:tcPr>
          <w:p>
            <w:pPr>
              <w:pStyle w:val="TableParagraph"/>
              <w:ind w:left="124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Depot Licence Charge</w:t>
            </w:r>
          </w:p>
        </w:tc>
        <w:tc>
          <w:tcPr>
            <w:tcW w:w="311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$4000</w:t>
            </w:r>
          </w:p>
        </w:tc>
        <w:tc>
          <w:tcPr>
            <w:tcW w:w="2943" w:type="dxa"/>
          </w:tcPr>
          <w:p>
            <w:pPr>
              <w:pStyle w:val="TableParagraph"/>
              <w:spacing w:line="249" w:lineRule="auto" w:before="70"/>
              <w:ind w:left="121" w:right="94" w:firstLine="2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Paid annually by depot </w:t>
            </w:r>
            <w:r>
              <w:rPr>
                <w:color w:val="444444"/>
                <w:w w:val="105"/>
                <w:sz w:val="19"/>
              </w:rPr>
              <w:t>licence </w:t>
            </w:r>
            <w:r>
              <w:rPr>
                <w:color w:val="343434"/>
                <w:w w:val="105"/>
                <w:sz w:val="19"/>
              </w:rPr>
              <w:t>holders </w:t>
            </w:r>
            <w:r>
              <w:rPr>
                <w:color w:val="444444"/>
                <w:w w:val="105"/>
                <w:sz w:val="19"/>
              </w:rPr>
              <w:t>upon </w:t>
            </w:r>
            <w:r>
              <w:rPr>
                <w:color w:val="343434"/>
                <w:w w:val="105"/>
                <w:sz w:val="19"/>
              </w:rPr>
              <w:t>the grant or renewal of </w:t>
            </w:r>
            <w:r>
              <w:rPr>
                <w:color w:val="444444"/>
                <w:w w:val="105"/>
                <w:sz w:val="19"/>
              </w:rPr>
              <w:t>the </w:t>
            </w:r>
            <w:r>
              <w:rPr>
                <w:color w:val="343434"/>
                <w:w w:val="105"/>
                <w:sz w:val="19"/>
              </w:rPr>
              <w:t>licence.</w:t>
            </w:r>
          </w:p>
        </w:tc>
      </w:tr>
      <w:tr>
        <w:trPr>
          <w:trHeight w:val="1277" w:hRule="atLeast"/>
        </w:trPr>
        <w:tc>
          <w:tcPr>
            <w:tcW w:w="26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spacing w:before="70"/>
              <w:rPr>
                <w:sz w:val="19"/>
              </w:rPr>
            </w:pPr>
            <w:r>
              <w:rPr>
                <w:color w:val="444444"/>
                <w:w w:val="105"/>
                <w:sz w:val="19"/>
              </w:rPr>
              <w:t>$1500</w:t>
            </w:r>
          </w:p>
        </w:tc>
        <w:tc>
          <w:tcPr>
            <w:tcW w:w="2943" w:type="dxa"/>
          </w:tcPr>
          <w:p>
            <w:pPr>
              <w:pStyle w:val="TableParagraph"/>
              <w:spacing w:line="254" w:lineRule="auto" w:before="75"/>
              <w:ind w:left="125" w:right="151" w:hanging="2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Paid annually by </w:t>
            </w:r>
            <w:r>
              <w:rPr>
                <w:color w:val="444444"/>
                <w:w w:val="105"/>
                <w:sz w:val="19"/>
              </w:rPr>
              <w:t>the </w:t>
            </w:r>
            <w:r>
              <w:rPr>
                <w:color w:val="5B605D"/>
                <w:w w:val="105"/>
                <w:sz w:val="19"/>
              </w:rPr>
              <w:t>l</w:t>
            </w:r>
            <w:r>
              <w:rPr>
                <w:color w:val="444444"/>
                <w:w w:val="105"/>
                <w:sz w:val="19"/>
              </w:rPr>
              <w:t>icence </w:t>
            </w:r>
            <w:r>
              <w:rPr>
                <w:color w:val="343434"/>
                <w:w w:val="105"/>
                <w:sz w:val="19"/>
              </w:rPr>
              <w:t>holder where </w:t>
            </w:r>
            <w:r>
              <w:rPr>
                <w:color w:val="444444"/>
                <w:w w:val="105"/>
                <w:sz w:val="19"/>
              </w:rPr>
              <w:t>the </w:t>
            </w:r>
            <w:r>
              <w:rPr>
                <w:color w:val="343434"/>
                <w:w w:val="105"/>
                <w:sz w:val="19"/>
              </w:rPr>
              <w:t>depot handled fewer than 300 transactions </w:t>
            </w:r>
            <w:r>
              <w:rPr>
                <w:color w:val="444444"/>
                <w:w w:val="105"/>
                <w:sz w:val="19"/>
              </w:rPr>
              <w:t>in </w:t>
            </w:r>
            <w:r>
              <w:rPr>
                <w:color w:val="343434"/>
                <w:w w:val="105"/>
                <w:sz w:val="19"/>
              </w:rPr>
              <w:t>the preceding year.</w:t>
            </w:r>
          </w:p>
        </w:tc>
      </w:tr>
      <w:tr>
        <w:trPr>
          <w:trHeight w:val="1037" w:hRule="atLeast"/>
        </w:trPr>
        <w:tc>
          <w:tcPr>
            <w:tcW w:w="2664" w:type="dxa"/>
          </w:tcPr>
          <w:p>
            <w:pPr>
              <w:pStyle w:val="TableParagraph"/>
              <w:spacing w:line="254" w:lineRule="auto" w:before="70"/>
              <w:ind w:left="124" w:right="392" w:hanging="1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Depot Licence Variation Charge</w:t>
            </w:r>
          </w:p>
        </w:tc>
        <w:tc>
          <w:tcPr>
            <w:tcW w:w="311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44444"/>
                <w:w w:val="105"/>
                <w:sz w:val="19"/>
              </w:rPr>
              <w:t>$300</w:t>
            </w:r>
          </w:p>
        </w:tc>
        <w:tc>
          <w:tcPr>
            <w:tcW w:w="2943" w:type="dxa"/>
          </w:tcPr>
          <w:p>
            <w:pPr>
              <w:pStyle w:val="TableParagraph"/>
              <w:spacing w:line="252" w:lineRule="auto" w:before="70"/>
              <w:ind w:left="126" w:right="77" w:firstLine="2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Paid by </w:t>
            </w:r>
            <w:r>
              <w:rPr>
                <w:color w:val="444444"/>
                <w:w w:val="105"/>
                <w:sz w:val="19"/>
              </w:rPr>
              <w:t>the </w:t>
            </w:r>
            <w:r>
              <w:rPr>
                <w:color w:val="343434"/>
                <w:w w:val="105"/>
                <w:sz w:val="19"/>
              </w:rPr>
              <w:t>licence holder upon application </w:t>
            </w:r>
            <w:r>
              <w:rPr>
                <w:color w:val="444444"/>
                <w:w w:val="105"/>
                <w:sz w:val="19"/>
              </w:rPr>
              <w:t>to </w:t>
            </w:r>
            <w:r>
              <w:rPr>
                <w:color w:val="343434"/>
                <w:w w:val="105"/>
                <w:sz w:val="19"/>
              </w:rPr>
              <w:t>vary or alter the place described in </w:t>
            </w:r>
            <w:r>
              <w:rPr>
                <w:color w:val="444444"/>
                <w:w w:val="105"/>
                <w:sz w:val="19"/>
              </w:rPr>
              <w:t>the </w:t>
            </w:r>
            <w:r>
              <w:rPr>
                <w:color w:val="343434"/>
                <w:w w:val="105"/>
                <w:sz w:val="19"/>
              </w:rPr>
              <w:t>licence.</w:t>
            </w:r>
          </w:p>
        </w:tc>
      </w:tr>
      <w:tr>
        <w:trPr>
          <w:trHeight w:val="427" w:hRule="atLeast"/>
        </w:trPr>
        <w:tc>
          <w:tcPr>
            <w:tcW w:w="8723" w:type="dxa"/>
            <w:gridSpan w:val="3"/>
          </w:tcPr>
          <w:p>
            <w:pPr>
              <w:pStyle w:val="TableParagraph"/>
              <w:spacing w:before="81"/>
              <w:ind w:left="124"/>
              <w:rPr>
                <w:b/>
                <w:sz w:val="23"/>
              </w:rPr>
            </w:pPr>
            <w:r>
              <w:rPr>
                <w:b/>
                <w:color w:val="343434"/>
                <w:w w:val="105"/>
                <w:sz w:val="23"/>
              </w:rPr>
              <w:t>Warehouse Licences</w:t>
            </w:r>
          </w:p>
        </w:tc>
      </w:tr>
      <w:tr>
        <w:trPr>
          <w:trHeight w:val="864" w:hRule="atLeast"/>
        </w:trPr>
        <w:tc>
          <w:tcPr>
            <w:tcW w:w="2664" w:type="dxa"/>
          </w:tcPr>
          <w:p>
            <w:pPr>
              <w:pStyle w:val="TableParagraph"/>
              <w:spacing w:line="247" w:lineRule="auto"/>
              <w:ind w:left="126" w:right="195" w:hanging="5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Warehouse </w:t>
            </w:r>
            <w:r>
              <w:rPr>
                <w:color w:val="444444"/>
                <w:w w:val="105"/>
                <w:sz w:val="19"/>
              </w:rPr>
              <w:t>licence </w:t>
            </w:r>
            <w:r>
              <w:rPr>
                <w:color w:val="343434"/>
                <w:w w:val="105"/>
                <w:sz w:val="19"/>
              </w:rPr>
              <w:t>fee for new applicants</w:t>
            </w:r>
          </w:p>
        </w:tc>
        <w:tc>
          <w:tcPr>
            <w:tcW w:w="3116" w:type="dxa"/>
          </w:tcPr>
          <w:p>
            <w:pPr>
              <w:pStyle w:val="TableParagraph"/>
              <w:spacing w:before="61"/>
              <w:rPr>
                <w:sz w:val="19"/>
              </w:rPr>
            </w:pPr>
            <w:r>
              <w:rPr>
                <w:color w:val="444444"/>
                <w:w w:val="105"/>
                <w:sz w:val="19"/>
              </w:rPr>
              <w:t>$7000</w:t>
            </w:r>
          </w:p>
          <w:p>
            <w:pPr>
              <w:pStyle w:val="TableParagraph"/>
              <w:spacing w:line="259" w:lineRule="auto" w:before="74"/>
              <w:ind w:right="198" w:hanging="6"/>
              <w:rPr>
                <w:sz w:val="19"/>
              </w:rPr>
            </w:pPr>
            <w:r>
              <w:rPr>
                <w:color w:val="444444"/>
                <w:w w:val="105"/>
                <w:sz w:val="19"/>
              </w:rPr>
              <w:t>(pro </w:t>
            </w:r>
            <w:r>
              <w:rPr>
                <w:color w:val="343434"/>
                <w:w w:val="105"/>
                <w:sz w:val="19"/>
              </w:rPr>
              <w:t>rata calculation if </w:t>
            </w:r>
            <w:r>
              <w:rPr>
                <w:color w:val="444444"/>
                <w:w w:val="105"/>
                <w:sz w:val="19"/>
              </w:rPr>
              <w:t>less than 12 </w:t>
            </w:r>
            <w:r>
              <w:rPr>
                <w:color w:val="343434"/>
                <w:w w:val="105"/>
                <w:sz w:val="19"/>
              </w:rPr>
              <w:t>months)</w:t>
            </w:r>
          </w:p>
        </w:tc>
        <w:tc>
          <w:tcPr>
            <w:tcW w:w="2943" w:type="dxa"/>
          </w:tcPr>
          <w:p>
            <w:pPr>
              <w:pStyle w:val="TableParagraph"/>
              <w:spacing w:line="249" w:lineRule="auto" w:before="70"/>
              <w:ind w:left="133" w:right="151" w:hanging="5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New applicants for a warehouse </w:t>
            </w:r>
            <w:r>
              <w:rPr>
                <w:color w:val="444444"/>
                <w:w w:val="105"/>
                <w:sz w:val="19"/>
              </w:rPr>
              <w:t>licence. </w:t>
            </w:r>
            <w:r>
              <w:rPr>
                <w:color w:val="343434"/>
                <w:w w:val="105"/>
                <w:sz w:val="19"/>
              </w:rPr>
              <w:t>Payable when </w:t>
            </w:r>
            <w:r>
              <w:rPr>
                <w:color w:val="444444"/>
                <w:w w:val="105"/>
                <w:sz w:val="19"/>
              </w:rPr>
              <w:t>the </w:t>
            </w:r>
            <w:r>
              <w:rPr>
                <w:color w:val="343434"/>
                <w:w w:val="105"/>
                <w:sz w:val="19"/>
              </w:rPr>
              <w:t>licence </w:t>
            </w:r>
            <w:r>
              <w:rPr>
                <w:color w:val="444444"/>
                <w:w w:val="105"/>
                <w:sz w:val="19"/>
              </w:rPr>
              <w:t>is </w:t>
            </w:r>
            <w:r>
              <w:rPr>
                <w:color w:val="343434"/>
                <w:w w:val="105"/>
                <w:sz w:val="19"/>
              </w:rPr>
              <w:t>granted.</w:t>
            </w:r>
          </w:p>
        </w:tc>
      </w:tr>
      <w:tr>
        <w:trPr>
          <w:trHeight w:val="811" w:hRule="atLeast"/>
        </w:trPr>
        <w:tc>
          <w:tcPr>
            <w:tcW w:w="2664" w:type="dxa"/>
          </w:tcPr>
          <w:p>
            <w:pPr>
              <w:pStyle w:val="TableParagraph"/>
              <w:spacing w:line="254" w:lineRule="auto" w:before="75"/>
              <w:ind w:left="122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Warehouse licence fee to </w:t>
            </w:r>
            <w:r>
              <w:rPr>
                <w:color w:val="444444"/>
                <w:w w:val="105"/>
                <w:sz w:val="19"/>
              </w:rPr>
              <w:t>renew </w:t>
            </w:r>
            <w:r>
              <w:rPr>
                <w:color w:val="343434"/>
                <w:w w:val="105"/>
                <w:sz w:val="19"/>
              </w:rPr>
              <w:t>a warehouse licence</w:t>
            </w:r>
          </w:p>
        </w:tc>
        <w:tc>
          <w:tcPr>
            <w:tcW w:w="3116" w:type="dxa"/>
          </w:tcPr>
          <w:p>
            <w:pPr>
              <w:pStyle w:val="TableParagraph"/>
              <w:ind w:left="136"/>
              <w:rPr>
                <w:sz w:val="19"/>
              </w:rPr>
            </w:pPr>
            <w:r>
              <w:rPr>
                <w:color w:val="444444"/>
                <w:w w:val="105"/>
                <w:sz w:val="19"/>
              </w:rPr>
              <w:t>$4000</w:t>
            </w:r>
          </w:p>
        </w:tc>
        <w:tc>
          <w:tcPr>
            <w:tcW w:w="2943" w:type="dxa"/>
          </w:tcPr>
          <w:p>
            <w:pPr>
              <w:pStyle w:val="TableParagraph"/>
              <w:spacing w:line="254" w:lineRule="auto" w:before="75"/>
              <w:ind w:left="130" w:right="151" w:firstLine="2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Payable </w:t>
            </w:r>
            <w:r>
              <w:rPr>
                <w:color w:val="444444"/>
                <w:w w:val="105"/>
                <w:sz w:val="19"/>
              </w:rPr>
              <w:t>by </w:t>
            </w:r>
            <w:r>
              <w:rPr>
                <w:color w:val="343434"/>
                <w:w w:val="105"/>
                <w:sz w:val="19"/>
              </w:rPr>
              <w:t>the licence holder to renew the warehouse licence.</w:t>
            </w:r>
          </w:p>
        </w:tc>
      </w:tr>
      <w:tr>
        <w:trPr>
          <w:trHeight w:val="417" w:hRule="atLeast"/>
        </w:trPr>
        <w:tc>
          <w:tcPr>
            <w:tcW w:w="8723" w:type="dxa"/>
            <w:gridSpan w:val="3"/>
          </w:tcPr>
          <w:p>
            <w:pPr>
              <w:pStyle w:val="TableParagraph"/>
              <w:spacing w:before="81"/>
              <w:ind w:left="127"/>
              <w:rPr>
                <w:b/>
                <w:sz w:val="23"/>
              </w:rPr>
            </w:pPr>
            <w:r>
              <w:rPr>
                <w:b/>
                <w:color w:val="343434"/>
                <w:w w:val="105"/>
                <w:sz w:val="23"/>
              </w:rPr>
              <w:t>Broker Licences</w:t>
            </w:r>
          </w:p>
        </w:tc>
      </w:tr>
      <w:tr>
        <w:trPr>
          <w:trHeight w:val="1277" w:hRule="atLeast"/>
        </w:trPr>
        <w:tc>
          <w:tcPr>
            <w:tcW w:w="2664" w:type="dxa"/>
          </w:tcPr>
          <w:p>
            <w:pPr>
              <w:pStyle w:val="TableParagraph"/>
              <w:spacing w:line="249" w:lineRule="auto" w:before="75"/>
              <w:ind w:left="126" w:right="524" w:firstLine="1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Fee for the grant or renewal of a </w:t>
            </w:r>
            <w:r>
              <w:rPr>
                <w:color w:val="444444"/>
                <w:w w:val="105"/>
                <w:sz w:val="19"/>
              </w:rPr>
              <w:t>'nominee' </w:t>
            </w:r>
            <w:r>
              <w:rPr>
                <w:color w:val="343434"/>
                <w:w w:val="105"/>
                <w:sz w:val="19"/>
              </w:rPr>
              <w:t>broker's licence.</w:t>
            </w:r>
          </w:p>
        </w:tc>
        <w:tc>
          <w:tcPr>
            <w:tcW w:w="3116" w:type="dxa"/>
          </w:tcPr>
          <w:p>
            <w:pPr>
              <w:pStyle w:val="TableParagraph"/>
              <w:spacing w:before="70"/>
              <w:ind w:left="136"/>
              <w:rPr>
                <w:sz w:val="19"/>
              </w:rPr>
            </w:pPr>
            <w:r>
              <w:rPr>
                <w:color w:val="444444"/>
                <w:w w:val="105"/>
                <w:sz w:val="19"/>
              </w:rPr>
              <w:t>$120</w:t>
            </w:r>
          </w:p>
          <w:p>
            <w:pPr>
              <w:pStyle w:val="TableParagraph"/>
              <w:spacing w:line="254" w:lineRule="auto" w:before="75"/>
              <w:ind w:left="135" w:right="271" w:hanging="4"/>
              <w:rPr>
                <w:sz w:val="19"/>
              </w:rPr>
            </w:pPr>
            <w:r>
              <w:rPr>
                <w:color w:val="444444"/>
                <w:w w:val="105"/>
                <w:sz w:val="19"/>
              </w:rPr>
              <w:t>(a </w:t>
            </w:r>
            <w:r>
              <w:rPr>
                <w:color w:val="343434"/>
                <w:w w:val="105"/>
                <w:sz w:val="19"/>
              </w:rPr>
              <w:t>licence </w:t>
            </w:r>
            <w:r>
              <w:rPr>
                <w:color w:val="444444"/>
                <w:w w:val="105"/>
                <w:sz w:val="19"/>
              </w:rPr>
              <w:t>fee </w:t>
            </w:r>
            <w:r>
              <w:rPr>
                <w:color w:val="343434"/>
                <w:w w:val="105"/>
                <w:sz w:val="19"/>
              </w:rPr>
              <w:t>is payable every three years)</w:t>
            </w:r>
          </w:p>
        </w:tc>
        <w:tc>
          <w:tcPr>
            <w:tcW w:w="2943" w:type="dxa"/>
          </w:tcPr>
          <w:p>
            <w:pPr>
              <w:pStyle w:val="TableParagraph"/>
              <w:spacing w:line="252" w:lineRule="auto" w:before="75"/>
              <w:ind w:left="134" w:right="151" w:hanging="2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Payable by </w:t>
            </w:r>
            <w:r>
              <w:rPr>
                <w:color w:val="444444"/>
                <w:w w:val="105"/>
                <w:sz w:val="19"/>
              </w:rPr>
              <w:t>the </w:t>
            </w:r>
            <w:r>
              <w:rPr>
                <w:color w:val="343434"/>
                <w:w w:val="105"/>
                <w:sz w:val="19"/>
              </w:rPr>
              <w:t>broker. A </w:t>
            </w:r>
            <w:r>
              <w:rPr>
                <w:color w:val="444444"/>
                <w:w w:val="105"/>
                <w:sz w:val="19"/>
              </w:rPr>
              <w:t>'nominee </w:t>
            </w:r>
            <w:r>
              <w:rPr>
                <w:color w:val="5B605D"/>
                <w:w w:val="105"/>
                <w:sz w:val="19"/>
              </w:rPr>
              <w:t>' </w:t>
            </w:r>
            <w:r>
              <w:rPr>
                <w:color w:val="343434"/>
                <w:w w:val="105"/>
                <w:sz w:val="19"/>
              </w:rPr>
              <w:t>is a natural person who does not intend </w:t>
            </w:r>
            <w:r>
              <w:rPr>
                <w:color w:val="444444"/>
                <w:w w:val="105"/>
                <w:sz w:val="19"/>
              </w:rPr>
              <w:t>to </w:t>
            </w:r>
            <w:r>
              <w:rPr>
                <w:color w:val="343434"/>
                <w:w w:val="105"/>
                <w:sz w:val="19"/>
              </w:rPr>
              <w:t>act as a customs broker </w:t>
            </w:r>
            <w:r>
              <w:rPr>
                <w:color w:val="444444"/>
                <w:w w:val="105"/>
                <w:sz w:val="19"/>
              </w:rPr>
              <w:t>in </w:t>
            </w:r>
            <w:r>
              <w:rPr>
                <w:color w:val="343434"/>
                <w:w w:val="105"/>
                <w:sz w:val="19"/>
              </w:rPr>
              <w:t>his or her own </w:t>
            </w:r>
            <w:r>
              <w:rPr>
                <w:color w:val="444444"/>
                <w:w w:val="105"/>
                <w:sz w:val="19"/>
              </w:rPr>
              <w:t>right.</w:t>
            </w:r>
          </w:p>
        </w:tc>
      </w:tr>
      <w:tr>
        <w:trPr>
          <w:trHeight w:val="1042" w:hRule="atLeast"/>
        </w:trPr>
        <w:tc>
          <w:tcPr>
            <w:tcW w:w="2664" w:type="dxa"/>
          </w:tcPr>
          <w:p>
            <w:pPr>
              <w:pStyle w:val="TableParagraph"/>
              <w:spacing w:line="252" w:lineRule="auto" w:before="70"/>
              <w:ind w:left="126" w:right="209" w:firstLine="1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Fee for </w:t>
            </w:r>
            <w:r>
              <w:rPr>
                <w:color w:val="242626"/>
                <w:w w:val="105"/>
                <w:sz w:val="19"/>
              </w:rPr>
              <w:t>the </w:t>
            </w:r>
            <w:r>
              <w:rPr>
                <w:color w:val="343434"/>
                <w:w w:val="105"/>
                <w:sz w:val="19"/>
              </w:rPr>
              <w:t>grant or renewal for a </w:t>
            </w:r>
            <w:r>
              <w:rPr>
                <w:color w:val="444444"/>
                <w:w w:val="105"/>
                <w:sz w:val="19"/>
              </w:rPr>
              <w:t>'sole </w:t>
            </w:r>
            <w:r>
              <w:rPr>
                <w:color w:val="343434"/>
                <w:w w:val="105"/>
                <w:sz w:val="19"/>
              </w:rPr>
              <w:t>trader</w:t>
            </w:r>
            <w:r>
              <w:rPr>
                <w:color w:val="5B605D"/>
                <w:w w:val="105"/>
                <w:sz w:val="19"/>
              </w:rPr>
              <w:t>' </w:t>
            </w:r>
            <w:r>
              <w:rPr>
                <w:color w:val="343434"/>
                <w:w w:val="105"/>
                <w:sz w:val="19"/>
              </w:rPr>
              <w:t>or </w:t>
            </w:r>
            <w:r>
              <w:rPr>
                <w:color w:val="444444"/>
                <w:w w:val="105"/>
                <w:sz w:val="19"/>
              </w:rPr>
              <w:t>'corporate' </w:t>
            </w:r>
            <w:r>
              <w:rPr>
                <w:color w:val="343434"/>
                <w:w w:val="105"/>
                <w:sz w:val="19"/>
              </w:rPr>
              <w:t>broker's </w:t>
            </w:r>
            <w:r>
              <w:rPr>
                <w:color w:val="444444"/>
                <w:w w:val="105"/>
                <w:sz w:val="19"/>
              </w:rPr>
              <w:t>licence</w:t>
            </w:r>
          </w:p>
        </w:tc>
        <w:tc>
          <w:tcPr>
            <w:tcW w:w="3116" w:type="dxa"/>
          </w:tcPr>
          <w:p>
            <w:pPr>
              <w:pStyle w:val="TableParagraph"/>
              <w:ind w:left="136"/>
              <w:rPr>
                <w:sz w:val="19"/>
              </w:rPr>
            </w:pPr>
            <w:r>
              <w:rPr>
                <w:color w:val="444444"/>
                <w:w w:val="105"/>
                <w:sz w:val="19"/>
              </w:rPr>
              <w:t>$1200</w:t>
            </w:r>
          </w:p>
          <w:p>
            <w:pPr>
              <w:pStyle w:val="TableParagraph"/>
              <w:spacing w:line="247" w:lineRule="auto" w:before="79"/>
              <w:ind w:left="140" w:right="266" w:hanging="4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(a licence fee is payable every three years)</w:t>
            </w:r>
          </w:p>
        </w:tc>
        <w:tc>
          <w:tcPr>
            <w:tcW w:w="2943" w:type="dxa"/>
          </w:tcPr>
          <w:p>
            <w:pPr>
              <w:pStyle w:val="TableParagraph"/>
              <w:spacing w:line="249" w:lineRule="auto" w:before="70"/>
              <w:ind w:right="108" w:firstLine="6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Payable by the </w:t>
            </w:r>
            <w:r>
              <w:rPr>
                <w:color w:val="444444"/>
                <w:w w:val="105"/>
                <w:sz w:val="19"/>
              </w:rPr>
              <w:t>broker</w:t>
            </w:r>
            <w:r>
              <w:rPr>
                <w:color w:val="5B605D"/>
                <w:w w:val="105"/>
                <w:sz w:val="19"/>
              </w:rPr>
              <w:t>. </w:t>
            </w:r>
            <w:r>
              <w:rPr>
                <w:color w:val="343434"/>
                <w:w w:val="105"/>
                <w:sz w:val="19"/>
              </w:rPr>
              <w:t>Th</w:t>
            </w:r>
            <w:r>
              <w:rPr>
                <w:color w:val="5B605D"/>
                <w:w w:val="105"/>
                <w:sz w:val="19"/>
              </w:rPr>
              <w:t>i</w:t>
            </w:r>
            <w:r>
              <w:rPr>
                <w:color w:val="343434"/>
                <w:w w:val="105"/>
                <w:sz w:val="19"/>
              </w:rPr>
              <w:t>s fee applies to all brokers other than </w:t>
            </w:r>
            <w:r>
              <w:rPr>
                <w:color w:val="5B605D"/>
                <w:w w:val="105"/>
                <w:sz w:val="19"/>
              </w:rPr>
              <w:t>'</w:t>
            </w:r>
            <w:r>
              <w:rPr>
                <w:color w:val="343434"/>
                <w:w w:val="105"/>
                <w:sz w:val="19"/>
              </w:rPr>
              <w:t>nominees'.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56" w:lineRule="auto" w:before="95"/>
        <w:ind w:left="720" w:right="526" w:hanging="5"/>
        <w:jc w:val="both"/>
        <w:rPr>
          <w:i/>
          <w:sz w:val="19"/>
        </w:rPr>
      </w:pPr>
      <w:r>
        <w:rPr>
          <w:color w:val="343434"/>
          <w:w w:val="105"/>
          <w:sz w:val="19"/>
        </w:rPr>
        <w:t>Fee and charges are </w:t>
      </w:r>
      <w:r>
        <w:rPr>
          <w:color w:val="242626"/>
          <w:w w:val="105"/>
          <w:sz w:val="19"/>
        </w:rPr>
        <w:t>imposed </w:t>
      </w:r>
      <w:r>
        <w:rPr>
          <w:color w:val="343434"/>
          <w:w w:val="105"/>
          <w:sz w:val="19"/>
        </w:rPr>
        <w:t>under the </w:t>
      </w:r>
      <w:r>
        <w:rPr>
          <w:i/>
          <w:color w:val="343434"/>
          <w:w w:val="105"/>
          <w:sz w:val="19"/>
        </w:rPr>
        <w:t>Customs Act 1901. </w:t>
      </w:r>
      <w:r>
        <w:rPr>
          <w:color w:val="343434"/>
          <w:w w:val="105"/>
          <w:sz w:val="19"/>
        </w:rPr>
        <w:t>The amount of fee or charge is specified in the </w:t>
      </w:r>
      <w:r>
        <w:rPr>
          <w:i/>
          <w:color w:val="343434"/>
          <w:w w:val="105"/>
          <w:sz w:val="19"/>
        </w:rPr>
        <w:t>Import Processing Charges Act 2001, </w:t>
      </w:r>
      <w:r>
        <w:rPr>
          <w:color w:val="343434"/>
          <w:w w:val="105"/>
          <w:sz w:val="19"/>
        </w:rPr>
        <w:t>the </w:t>
      </w:r>
      <w:r>
        <w:rPr>
          <w:i/>
          <w:color w:val="343434"/>
          <w:w w:val="105"/>
          <w:sz w:val="19"/>
        </w:rPr>
        <w:t>Customs Depot Licensing Charges Act 1997, </w:t>
      </w:r>
      <w:r>
        <w:rPr>
          <w:color w:val="343434"/>
          <w:w w:val="105"/>
          <w:sz w:val="19"/>
        </w:rPr>
        <w:t>the </w:t>
      </w:r>
      <w:r>
        <w:rPr>
          <w:i/>
          <w:color w:val="343434"/>
          <w:w w:val="105"/>
          <w:sz w:val="19"/>
        </w:rPr>
        <w:t>Customs Act 1901 </w:t>
      </w:r>
      <w:r>
        <w:rPr>
          <w:color w:val="343434"/>
          <w:w w:val="105"/>
          <w:sz w:val="19"/>
        </w:rPr>
        <w:t>or the </w:t>
      </w:r>
      <w:r>
        <w:rPr>
          <w:i/>
          <w:color w:val="343434"/>
          <w:w w:val="105"/>
          <w:sz w:val="19"/>
        </w:rPr>
        <w:t>Customs Regulations 1926.</w:t>
      </w: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spacing w:line="254" w:lineRule="auto"/>
        <w:ind w:left="718" w:hanging="1"/>
      </w:pPr>
      <w:r>
        <w:rPr>
          <w:color w:val="444444"/>
          <w:w w:val="105"/>
        </w:rPr>
        <w:t>Inqu</w:t>
      </w:r>
      <w:r>
        <w:rPr>
          <w:color w:val="242626"/>
          <w:w w:val="105"/>
        </w:rPr>
        <w:t>i</w:t>
      </w:r>
      <w:r>
        <w:rPr>
          <w:color w:val="444444"/>
          <w:w w:val="105"/>
        </w:rPr>
        <w:t>ries </w:t>
      </w:r>
      <w:r>
        <w:rPr>
          <w:color w:val="343434"/>
          <w:w w:val="105"/>
        </w:rPr>
        <w:t>concerning this notice may be directed to the Director, Border Revenue Policy Section, please email </w:t>
      </w:r>
      <w:hyperlink r:id="rId6">
        <w:r>
          <w:rPr>
            <w:color w:val="314F82"/>
            <w:w w:val="105"/>
            <w:u w:val="thick" w:color="314F82"/>
          </w:rPr>
          <w:t>traderevenuepolicy@customs.gov.au</w:t>
        </w:r>
      </w:hyperlink>
      <w:r>
        <w:rPr>
          <w:color w:val="314F82"/>
          <w:w w:val="105"/>
        </w:rPr>
        <w:t> </w:t>
      </w:r>
      <w:r>
        <w:rPr>
          <w:color w:val="343434"/>
          <w:w w:val="105"/>
        </w:rPr>
        <w:t>or telephone (02) 6122 5533.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line="254" w:lineRule="auto"/>
        <w:ind w:left="721" w:right="6377" w:hanging="4"/>
      </w:pPr>
      <w:r>
        <w:rPr>
          <w:color w:val="343434"/>
          <w:spacing w:val="2"/>
          <w:w w:val="105"/>
        </w:rPr>
        <w:t>Shara</w:t>
      </w:r>
      <w:r>
        <w:rPr>
          <w:color w:val="8280AF"/>
          <w:spacing w:val="2"/>
          <w:w w:val="105"/>
        </w:rPr>
        <w:t>' </w:t>
      </w:r>
      <w:r>
        <w:rPr>
          <w:color w:val="444444"/>
          <w:w w:val="105"/>
        </w:rPr>
        <w:t>Nyakuengama </w:t>
      </w:r>
      <w:r>
        <w:rPr>
          <w:color w:val="242626"/>
          <w:w w:val="105"/>
        </w:rPr>
        <w:t>National </w:t>
      </w:r>
      <w:r>
        <w:rPr>
          <w:color w:val="343434"/>
          <w:w w:val="105"/>
        </w:rPr>
        <w:t>Manager Customs Branch CANBERRA</w:t>
      </w:r>
      <w:r>
        <w:rPr>
          <w:color w:val="343434"/>
          <w:spacing w:val="14"/>
          <w:w w:val="105"/>
        </w:rPr>
        <w:t> </w:t>
      </w:r>
      <w:r>
        <w:rPr>
          <w:color w:val="343434"/>
          <w:w w:val="105"/>
        </w:rPr>
        <w:t>ACT</w:t>
      </w:r>
    </w:p>
    <w:p>
      <w:pPr>
        <w:pStyle w:val="BodyText"/>
        <w:spacing w:before="111"/>
        <w:ind w:left="697"/>
        <w:jc w:val="both"/>
      </w:pPr>
      <w:r>
        <w:rPr>
          <w:color w:val="675E9A"/>
          <w:w w:val="105"/>
        </w:rPr>
        <w:t>/ S--   </w:t>
      </w:r>
      <w:r>
        <w:rPr>
          <w:color w:val="343434"/>
          <w:w w:val="105"/>
        </w:rPr>
        <w:t>August</w:t>
      </w:r>
      <w:r>
        <w:rPr>
          <w:color w:val="343434"/>
          <w:spacing w:val="-19"/>
          <w:w w:val="105"/>
        </w:rPr>
        <w:t> </w:t>
      </w:r>
      <w:r>
        <w:rPr>
          <w:color w:val="343434"/>
          <w:w w:val="105"/>
        </w:rPr>
        <w:t>2014</w:t>
      </w:r>
    </w:p>
    <w:sectPr>
      <w:pgSz w:w="11900" w:h="16840"/>
      <w:pgMar w:top="1260" w:bottom="280" w:left="100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1" w:right="34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6"/>
      <w:ind w:left="13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traderevenuepolicy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2020-12-09T22:46:52Z</dcterms:created>
  <dcterms:modified xsi:type="dcterms:W3CDTF">2020-12-09T22:46:52Z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2014-08-15T00:00:00Z</vt:filetime>
  </property>
  <property fmtid="{D5CDD505-2E9C-101B-9397-08002B2CF9AE}" pid="3" name="Creator">
    <vt:lpwstr>OmniPage CSDK 18</vt:lpwstr>
  </property>
  <property fmtid="{D5CDD505-2E9C-101B-9397-08002B2CF9AE}" pid="4" name="LastSaved">
    <vt:filetime>2020-12-09T00:00:00Z</vt:filetime>
  </property>
</Properties>
</file>