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ge;z-index:-15759360" from="14.424206pt,136.968948pt" to="584.661148pt,136.968948pt" stroked="true" strokeweight="6.968596pt" strokecolor="#000000">
            <v:stroke dashstyle="solid"/>
            <w10:wrap type="none"/>
          </v:line>
        </w:pict>
      </w: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720537</wp:posOffset>
            </wp:positionH>
            <wp:positionV relativeFrom="paragraph">
              <wp:posOffset>-88772</wp:posOffset>
            </wp:positionV>
            <wp:extent cx="891512" cy="62256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12" cy="62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  <w:u w:val="none"/>
        </w:rPr>
      </w:r>
      <w:r>
        <w:rPr>
          <w:color w:val="263D60"/>
          <w:w w:val="90"/>
          <w:u w:val="thick" w:color="263D60"/>
        </w:rPr>
        <w:t>Australian</w:t>
      </w:r>
      <w:r>
        <w:rPr>
          <w:color w:val="263D60"/>
          <w:spacing w:val="21"/>
          <w:w w:val="90"/>
          <w:u w:val="thick" w:color="263D60"/>
        </w:rPr>
        <w:t> </w:t>
      </w:r>
      <w:r>
        <w:rPr>
          <w:color w:val="263D60"/>
          <w:w w:val="90"/>
          <w:u w:val="thick" w:color="263D60"/>
        </w:rPr>
        <w:t>Government</w:t>
      </w:r>
    </w:p>
    <w:p>
      <w:pPr>
        <w:spacing w:line="273" w:lineRule="auto" w:before="143"/>
        <w:ind w:left="1624" w:right="4530" w:hanging="2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263D60"/>
          <w:w w:val="105"/>
          <w:sz w:val="23"/>
        </w:rPr>
        <w:t>Australian Customs and Border</w:t>
      </w:r>
      <w:r>
        <w:rPr>
          <w:rFonts w:ascii="Times New Roman"/>
          <w:b/>
          <w:color w:val="263D60"/>
          <w:spacing w:val="-36"/>
          <w:w w:val="105"/>
          <w:sz w:val="23"/>
        </w:rPr>
        <w:t> </w:t>
      </w:r>
      <w:r>
        <w:rPr>
          <w:rFonts w:ascii="Times New Roman"/>
          <w:b/>
          <w:color w:val="263D60"/>
          <w:w w:val="105"/>
          <w:sz w:val="23"/>
        </w:rPr>
        <w:t>Protection</w:t>
      </w:r>
      <w:r>
        <w:rPr>
          <w:rFonts w:ascii="Times New Roman"/>
          <w:b/>
          <w:color w:val="263D60"/>
          <w:spacing w:val="-31"/>
          <w:w w:val="105"/>
          <w:sz w:val="23"/>
        </w:rPr>
        <w:t> </w:t>
      </w:r>
      <w:r>
        <w:rPr>
          <w:rFonts w:ascii="Times New Roman"/>
          <w:b/>
          <w:color w:val="263D60"/>
          <w:w w:val="105"/>
          <w:sz w:val="23"/>
        </w:rPr>
        <w:t>Service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6"/>
        <w:rPr>
          <w:rFonts w:ascii="Times New Roman"/>
          <w:b/>
          <w:sz w:val="29"/>
        </w:rPr>
      </w:pPr>
    </w:p>
    <w:p>
      <w:pPr>
        <w:spacing w:line="259" w:lineRule="auto" w:before="92" w:after="12"/>
        <w:ind w:left="887" w:right="338" w:firstLine="0"/>
        <w:jc w:val="center"/>
        <w:rPr>
          <w:b/>
          <w:sz w:val="26"/>
        </w:rPr>
      </w:pPr>
      <w:r>
        <w:rPr>
          <w:b/>
          <w:color w:val="2F3131"/>
          <w:w w:val="105"/>
          <w:sz w:val="26"/>
        </w:rPr>
        <w:t>AUSTRALIAN CUSTOMS AND BORDER PROTECTION NOTICE NO. 2014/59</w:t>
      </w:r>
    </w:p>
    <w:p>
      <w:pPr>
        <w:pStyle w:val="BodyText"/>
        <w:spacing w:line="20" w:lineRule="exact"/>
        <w:ind w:left="667"/>
        <w:rPr>
          <w:sz w:val="2"/>
        </w:rPr>
      </w:pPr>
      <w:r>
        <w:rPr>
          <w:sz w:val="2"/>
        </w:rPr>
        <w:pict>
          <v:group style="width:429.85pt;height:.5pt;mso-position-horizontal-relative:char;mso-position-vertical-relative:line" coordorigin="0,0" coordsize="8597,10">
            <v:line style="position:absolute" from="0,5" to="8597,5" stroked="true" strokeweight=".48059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24"/>
        </w:rPr>
      </w:pPr>
    </w:p>
    <w:p>
      <w:pPr>
        <w:spacing w:before="0"/>
        <w:ind w:left="878" w:right="338" w:firstLine="0"/>
        <w:jc w:val="center"/>
        <w:rPr>
          <w:b/>
          <w:sz w:val="26"/>
        </w:rPr>
      </w:pPr>
      <w:r>
        <w:rPr>
          <w:b/>
          <w:color w:val="2F3131"/>
          <w:w w:val="105"/>
          <w:sz w:val="26"/>
        </w:rPr>
        <w:t>New illegal logging laws now apply to timber importers</w:t>
      </w:r>
    </w:p>
    <w:p>
      <w:pPr>
        <w:pStyle w:val="BodyText"/>
        <w:spacing w:before="5"/>
        <w:rPr>
          <w:b/>
          <w:sz w:val="24"/>
        </w:rPr>
      </w:pPr>
    </w:p>
    <w:p>
      <w:pPr>
        <w:spacing w:before="0"/>
        <w:ind w:left="702" w:right="147" w:hanging="2"/>
        <w:jc w:val="both"/>
        <w:rPr>
          <w:sz w:val="20"/>
        </w:rPr>
      </w:pPr>
      <w:r>
        <w:rPr>
          <w:color w:val="3F4141"/>
          <w:sz w:val="20"/>
        </w:rPr>
        <w:t>A new element of the Australian Government's illegal logging laws, as outlined in the </w:t>
      </w:r>
      <w:r>
        <w:rPr>
          <w:i/>
          <w:color w:val="3F4141"/>
          <w:sz w:val="19"/>
        </w:rPr>
        <w:t>Illegal Logging Prohibition Amendment Regulation 2013, </w:t>
      </w:r>
      <w:r>
        <w:rPr>
          <w:color w:val="3F4141"/>
          <w:sz w:val="20"/>
        </w:rPr>
        <w:t>came </w:t>
      </w:r>
      <w:r>
        <w:rPr>
          <w:color w:val="565656"/>
          <w:sz w:val="20"/>
        </w:rPr>
        <w:t>into </w:t>
      </w:r>
      <w:r>
        <w:rPr>
          <w:i/>
          <w:color w:val="3F4141"/>
          <w:sz w:val="19"/>
        </w:rPr>
        <w:t>effect </w:t>
      </w:r>
      <w:r>
        <w:rPr>
          <w:color w:val="3F4141"/>
          <w:sz w:val="20"/>
        </w:rPr>
        <w:t>on 30 November 2014.</w:t>
      </w:r>
    </w:p>
    <w:p>
      <w:pPr>
        <w:pStyle w:val="BodyText"/>
        <w:spacing w:line="242" w:lineRule="auto" w:before="126"/>
        <w:ind w:left="702" w:right="135" w:hanging="1"/>
        <w:jc w:val="both"/>
      </w:pPr>
      <w:r>
        <w:rPr>
          <w:color w:val="3F4141"/>
        </w:rPr>
        <w:t>Importers of regulated timber and timber products (as defined in Schedule 1 of the Regulation) now </w:t>
      </w:r>
      <w:r>
        <w:rPr>
          <w:color w:val="2F3131"/>
        </w:rPr>
        <w:t>need to </w:t>
      </w:r>
      <w:r>
        <w:rPr>
          <w:color w:val="3F4141"/>
        </w:rPr>
        <w:t>assess and manage </w:t>
      </w:r>
      <w:r>
        <w:rPr>
          <w:color w:val="2F3131"/>
        </w:rPr>
        <w:t>the </w:t>
      </w:r>
      <w:r>
        <w:rPr>
          <w:color w:val="3F4141"/>
        </w:rPr>
        <w:t>risk that the timber may have been </w:t>
      </w:r>
      <w:r>
        <w:rPr>
          <w:color w:val="2F3131"/>
        </w:rPr>
        <w:t>illegally </w:t>
      </w:r>
      <w:r>
        <w:rPr>
          <w:color w:val="3F4141"/>
        </w:rPr>
        <w:t>logged before importing that product. This is known as carrying out due diligence.</w:t>
      </w:r>
    </w:p>
    <w:p>
      <w:pPr>
        <w:pStyle w:val="BodyText"/>
        <w:spacing w:line="237" w:lineRule="auto" w:before="122"/>
        <w:ind w:left="702" w:right="140" w:firstLine="2"/>
        <w:jc w:val="both"/>
      </w:pPr>
      <w:r>
        <w:rPr>
          <w:color w:val="3F4141"/>
        </w:rPr>
        <w:t>Due diligence requires an  importer  of  regulated  timber  and  timber  products  to  gather </w:t>
      </w:r>
      <w:r>
        <w:rPr>
          <w:color w:val="565656"/>
        </w:rPr>
        <w:t>inform </w:t>
      </w:r>
      <w:r>
        <w:rPr>
          <w:color w:val="2F3131"/>
          <w:spacing w:val="-4"/>
        </w:rPr>
        <w:t>ation</w:t>
      </w:r>
      <w:r>
        <w:rPr>
          <w:color w:val="565656"/>
          <w:spacing w:val="-4"/>
        </w:rPr>
        <w:t>, </w:t>
      </w:r>
      <w:r>
        <w:rPr>
          <w:color w:val="3F4141"/>
        </w:rPr>
        <w:t>assess the risk that the timber product they are importing may have been illegally logged </w:t>
      </w:r>
      <w:r>
        <w:rPr>
          <w:color w:val="2F3131"/>
        </w:rPr>
        <w:t>and </w:t>
      </w:r>
      <w:r>
        <w:rPr>
          <w:color w:val="3F4141"/>
        </w:rPr>
        <w:t>then, unless assessed as </w:t>
      </w:r>
      <w:r>
        <w:rPr>
          <w:color w:val="2F3131"/>
        </w:rPr>
        <w:t>low </w:t>
      </w:r>
      <w:r>
        <w:rPr>
          <w:color w:val="3F4141"/>
        </w:rPr>
        <w:t>risk, undertake reasonable steps to mitigate any</w:t>
      </w:r>
      <w:r>
        <w:rPr>
          <w:color w:val="3F4141"/>
          <w:spacing w:val="-4"/>
        </w:rPr>
        <w:t> </w:t>
      </w:r>
      <w:r>
        <w:rPr>
          <w:color w:val="3F4141"/>
        </w:rPr>
        <w:t>risk.</w:t>
      </w:r>
    </w:p>
    <w:p>
      <w:pPr>
        <w:pStyle w:val="BodyText"/>
        <w:spacing w:before="123"/>
        <w:ind w:left="703" w:right="141" w:firstLine="2"/>
        <w:jc w:val="both"/>
      </w:pPr>
      <w:r>
        <w:rPr>
          <w:color w:val="3F4141"/>
        </w:rPr>
        <w:t>The </w:t>
      </w:r>
      <w:r>
        <w:rPr>
          <w:color w:val="2F3131"/>
        </w:rPr>
        <w:t>regulated </w:t>
      </w:r>
      <w:r>
        <w:rPr>
          <w:color w:val="3F4141"/>
        </w:rPr>
        <w:t>timber products are identified using Customs Tariff Codes and fit within Chapters 44, 47, 48 and 94. This includes most timber and wood-based products such as sawn timber, veneer, mouldings, wood panels, plywood, pulp, paper and wooden furniture.</w:t>
      </w:r>
    </w:p>
    <w:p>
      <w:pPr>
        <w:pStyle w:val="BodyText"/>
        <w:spacing w:line="372" w:lineRule="auto" w:before="122"/>
        <w:ind w:left="1438" w:right="2306" w:hanging="732"/>
        <w:jc w:val="both"/>
      </w:pPr>
      <w:r>
        <w:rPr>
          <w:color w:val="3F4141"/>
        </w:rPr>
        <w:t>The following products are exempt from the due diligence requirements: </w:t>
      </w:r>
      <w:r>
        <w:rPr>
          <w:color w:val="2F3131"/>
        </w:rPr>
        <w:t>products </w:t>
      </w:r>
      <w:r>
        <w:rPr>
          <w:color w:val="3F4141"/>
        </w:rPr>
        <w:t>made out of recycled materials</w:t>
      </w:r>
    </w:p>
    <w:p>
      <w:pPr>
        <w:pStyle w:val="BodyText"/>
        <w:ind w:left="1435" w:right="135" w:firstLine="3"/>
        <w:jc w:val="both"/>
      </w:pPr>
      <w:r>
        <w:rPr>
          <w:color w:val="2F3131"/>
        </w:rPr>
        <w:t>products </w:t>
      </w:r>
      <w:r>
        <w:rPr>
          <w:color w:val="3F4141"/>
        </w:rPr>
        <w:t>imported into Australia where the </w:t>
      </w:r>
      <w:r>
        <w:rPr>
          <w:color w:val="565656"/>
        </w:rPr>
        <w:t>comb</w:t>
      </w:r>
      <w:r>
        <w:rPr>
          <w:color w:val="2F3131"/>
        </w:rPr>
        <w:t>ined </w:t>
      </w:r>
      <w:r>
        <w:rPr>
          <w:color w:val="3F4141"/>
        </w:rPr>
        <w:t>value of the </w:t>
      </w:r>
      <w:r>
        <w:rPr>
          <w:color w:val="565656"/>
        </w:rPr>
        <w:t>regulated </w:t>
      </w:r>
      <w:r>
        <w:rPr>
          <w:color w:val="3F4141"/>
        </w:rPr>
        <w:t>products </w:t>
      </w:r>
      <w:r>
        <w:rPr>
          <w:color w:val="2F3131"/>
        </w:rPr>
        <w:t>does </w:t>
      </w:r>
      <w:r>
        <w:rPr>
          <w:color w:val="3F4141"/>
        </w:rPr>
        <w:t>not exceed AUD$1,000</w:t>
      </w:r>
    </w:p>
    <w:p>
      <w:pPr>
        <w:pStyle w:val="BodyText"/>
        <w:spacing w:before="115"/>
        <w:ind w:left="1438"/>
        <w:jc w:val="both"/>
      </w:pPr>
      <w:r>
        <w:rPr>
          <w:color w:val="2F3131"/>
        </w:rPr>
        <w:t>packaging </w:t>
      </w:r>
      <w:r>
        <w:rPr>
          <w:color w:val="3F4141"/>
        </w:rPr>
        <w:t>material used to support, protect or carry another product</w:t>
      </w:r>
    </w:p>
    <w:p>
      <w:pPr>
        <w:pStyle w:val="BodyText"/>
        <w:spacing w:before="121"/>
        <w:ind w:left="709" w:right="127" w:firstLine="2"/>
        <w:jc w:val="both"/>
      </w:pPr>
      <w:r>
        <w:rPr>
          <w:color w:val="3F4141"/>
        </w:rPr>
        <w:t>The </w:t>
      </w:r>
      <w:r>
        <w:rPr>
          <w:color w:val="565656"/>
        </w:rPr>
        <w:t>importer </w:t>
      </w:r>
      <w:r>
        <w:rPr>
          <w:color w:val="3F4141"/>
        </w:rPr>
        <w:t>will also be asked to make a declaration to Australian Customs and Border Protection Service about compliance with these requirements. This will be </w:t>
      </w:r>
      <w:r>
        <w:rPr>
          <w:color w:val="565656"/>
        </w:rPr>
        <w:t>in </w:t>
      </w:r>
      <w:r>
        <w:rPr>
          <w:color w:val="3F4141"/>
        </w:rPr>
        <w:t>the form of a new illegal logging community protection question, which will be answered as part of the full import declaration process.</w:t>
      </w:r>
    </w:p>
    <w:p>
      <w:pPr>
        <w:pStyle w:val="BodyText"/>
        <w:spacing w:line="242" w:lineRule="auto" w:before="118"/>
        <w:ind w:left="710" w:right="138" w:hanging="2"/>
        <w:jc w:val="both"/>
      </w:pPr>
      <w:r>
        <w:rPr>
          <w:color w:val="3F4141"/>
        </w:rPr>
        <w:t>Further information on the </w:t>
      </w:r>
      <w:r>
        <w:rPr>
          <w:color w:val="2F3131"/>
        </w:rPr>
        <w:t>new </w:t>
      </w:r>
      <w:r>
        <w:rPr>
          <w:color w:val="3F4141"/>
        </w:rPr>
        <w:t>requirements can be found on the Department of Agriculture's website: agriculture.gov.au/illegallogging. You can also contact them by emailing: </w:t>
      </w:r>
      <w:hyperlink r:id="rId6">
        <w:r>
          <w:rPr>
            <w:color w:val="3F4141"/>
          </w:rPr>
          <w:t>illegallogging@agriculture.gov.au </w:t>
        </w:r>
      </w:hyperlink>
      <w:r>
        <w:rPr>
          <w:color w:val="3F4141"/>
        </w:rPr>
        <w:t>or calling on </w:t>
      </w:r>
      <w:r>
        <w:rPr>
          <w:color w:val="2F3131"/>
        </w:rPr>
        <w:t>1800 </w:t>
      </w:r>
      <w:r>
        <w:rPr>
          <w:color w:val="3F4141"/>
        </w:rPr>
        <w:t>657 313 (during business hours).</w:t>
      </w:r>
    </w:p>
    <w:p>
      <w:pPr>
        <w:pStyle w:val="BodyText"/>
        <w:spacing w:before="121"/>
        <w:ind w:left="711" w:right="123" w:firstLine="2"/>
        <w:jc w:val="both"/>
      </w:pPr>
      <w:r>
        <w:rPr>
          <w:color w:val="3F4141"/>
        </w:rPr>
        <w:t>Further Inquiries concerning this notice may be directed to Manager Environment and Wildlife Team on telephone number (02) 6229 3825 or by email on </w:t>
      </w:r>
      <w:hyperlink r:id="rId7">
        <w:r>
          <w:rPr>
            <w:color w:val="3F4141"/>
          </w:rPr>
          <w:t>environment.wildlife@customs.gov.au</w:t>
        </w:r>
      </w:hyperlink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1233461</wp:posOffset>
            </wp:positionH>
            <wp:positionV relativeFrom="paragraph">
              <wp:posOffset>111186</wp:posOffset>
            </wp:positionV>
            <wp:extent cx="1988179" cy="51206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179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4"/>
        <w:ind w:left="715" w:right="6922" w:hanging="5"/>
      </w:pPr>
      <w:r>
        <w:rPr>
          <w:i/>
          <w:color w:val="3F4141"/>
          <w:sz w:val="19"/>
        </w:rPr>
        <w:t>Geoff </w:t>
      </w:r>
      <w:r>
        <w:rPr>
          <w:color w:val="3F4141"/>
        </w:rPr>
        <w:t>Johannes Assistant Secretary Trade</w:t>
      </w:r>
    </w:p>
    <w:p>
      <w:pPr>
        <w:spacing w:line="262" w:lineRule="exact" w:before="0"/>
        <w:ind w:left="717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3F4141"/>
          <w:sz w:val="24"/>
        </w:rPr>
        <w:t>CANBERRA ACT</w:t>
      </w:r>
    </w:p>
    <w:p>
      <w:pPr>
        <w:pStyle w:val="BodyText"/>
        <w:tabs>
          <w:tab w:pos="1055" w:val="left" w:leader="none"/>
        </w:tabs>
        <w:spacing w:before="86"/>
        <w:ind w:left="698"/>
      </w:pPr>
      <w:r>
        <w:rPr>
          <w:color w:val="3F4141"/>
        </w:rPr>
        <w:t>/</w:t>
        <w:tab/>
        <w:t>December</w:t>
      </w:r>
      <w:r>
        <w:rPr>
          <w:color w:val="3F4141"/>
          <w:spacing w:val="14"/>
        </w:rPr>
        <w:t> </w:t>
      </w:r>
      <w:r>
        <w:rPr>
          <w:color w:val="3F4141"/>
        </w:rPr>
        <w:t>2014</w:t>
      </w:r>
    </w:p>
    <w:sectPr>
      <w:type w:val="continuous"/>
      <w:pgSz w:w="11900" w:h="16840"/>
      <w:pgMar w:top="1100" w:bottom="280" w:left="102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622" w:hanging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illegallogging@agriculture.gov.au" TargetMode="External"/><Relationship Id="rId7" Type="http://schemas.openxmlformats.org/officeDocument/2006/relationships/hyperlink" Target="mailto:environment.wildlife@customs.gov.au" TargetMode="External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2020-12-09T22:50:20Z</dcterms:created>
  <dcterms:modified xsi:type="dcterms:W3CDTF">2020-12-09T22:50:20Z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OmniPage CSDK 18</vt:lpwstr>
  </property>
  <property fmtid="{D5CDD505-2E9C-101B-9397-08002B2CF9AE}" pid="4" name="LastSaved">
    <vt:filetime>2020-12-09T00:00:00Z</vt:filetime>
  </property>
</Properties>
</file>