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374" w:val="left" w:leader="none"/>
          <w:tab w:pos="4528" w:val="left" w:leader="none"/>
          <w:tab w:pos="5701" w:val="left" w:leader="none"/>
        </w:tabs>
        <w:spacing w:line="20" w:lineRule="exact"/>
        <w:ind w:left="278" w:right="0" w:firstLine="0"/>
        <w:rPr>
          <w:rFonts w:ascii="Times New Roman"/>
          <w:sz w:val="2"/>
        </w:rPr>
      </w:pPr>
      <w:r>
        <w:rPr/>
        <w:pict>
          <v:line style="position:absolute;mso-position-horizontal-relative:page;mso-position-vertical-relative:page;z-index:15732224" from="517.348206pt,.720889pt" to="557.735982pt,.720889pt" stroked="true" strokeweight=".7208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764992" from="13.462592pt,143.456955pt" to="585.622762pt,143.456955pt" stroked="true" strokeweight="6.968596pt" strokecolor="#000000">
            <v:stroke dashstyle="solid"/>
            <w10:wrap type="none"/>
          </v:line>
        </w:pict>
      </w:r>
      <w:r>
        <w:rPr>
          <w:rFonts w:ascii="Times New Roman"/>
          <w:sz w:val="2"/>
        </w:rPr>
        <w:pict>
          <v:group style="width:34.65pt;height:.75pt;mso-position-horizontal-relative:char;mso-position-vertical-relative:line" coordorigin="0,0" coordsize="693,15">
            <v:line style="position:absolute" from="0,7" to="692,7" stroked="true" strokeweight=".72088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9.450pt;height:.75pt;mso-position-horizontal-relative:char;mso-position-vertical-relative:line" coordorigin="0,0" coordsize="789,15">
            <v:line style="position:absolute" from="0,7" to="789,7" stroked="true" strokeweight=".72088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3.3pt;height:.75pt;mso-position-horizontal-relative:char;mso-position-vertical-relative:line" coordorigin="0,0" coordsize="866,15">
            <v:line style="position:absolute" from="0,7" to="865,7" stroked="true" strokeweight=".72088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21.2pt;height:.75pt;mso-position-horizontal-relative:char;mso-position-vertical-relative:line" coordorigin="0,0" coordsize="2424,15">
            <v:shape style="position:absolute;left:0;top:7;width:2424;height:2" coordorigin="0,7" coordsize="2424,0" path="m1673,7l2423,7m0,7l1654,7e" filled="false" stroked="true" strokeweight=".72105pt" strokecolor="#000000">
              <v:path arrowok="t"/>
              <v:stroke dashstyle="solid"/>
            </v:shap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spacing w:before="90"/>
        <w:ind w:left="1582" w:right="0" w:firstLine="0"/>
        <w:jc w:val="left"/>
        <w:rPr>
          <w:rFonts w:ascii="Times New Roman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781599</wp:posOffset>
            </wp:positionH>
            <wp:positionV relativeFrom="paragraph">
              <wp:posOffset>-112025</wp:posOffset>
            </wp:positionV>
            <wp:extent cx="781599" cy="32959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599" cy="3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/>
      </w:r>
      <w:r>
        <w:rPr>
          <w:rFonts w:ascii="Times New Roman"/>
          <w:b/>
          <w:color w:val="1A3B56"/>
          <w:w w:val="105"/>
          <w:sz w:val="25"/>
          <w:u w:val="thick" w:color="1A3B56"/>
        </w:rPr>
        <w:t>Australian Government</w:t>
      </w:r>
    </w:p>
    <w:p>
      <w:pPr>
        <w:tabs>
          <w:tab w:pos="901" w:val="left" w:leader="none"/>
        </w:tabs>
        <w:spacing w:before="126"/>
        <w:ind w:left="109" w:right="0" w:firstLine="0"/>
        <w:jc w:val="left"/>
        <w:rPr>
          <w:rFonts w:ascii="Times New Roman" w:hAnsi="Times New Roman"/>
          <w:b/>
          <w:sz w:val="23"/>
        </w:rPr>
      </w:pPr>
      <w:r>
        <w:rPr/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940361</wp:posOffset>
            </wp:positionH>
            <wp:positionV relativeFrom="paragraph">
              <wp:posOffset>222464</wp:posOffset>
            </wp:positionV>
            <wp:extent cx="488499" cy="6103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99" cy="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8E9C"/>
          <w:spacing w:val="-7"/>
          <w:w w:val="75"/>
          <w:sz w:val="18"/>
        </w:rPr>
        <w:t>'?.-;._':</w:t>
      </w:r>
      <w:r>
        <w:rPr>
          <w:color w:val="64798E"/>
          <w:spacing w:val="-7"/>
          <w:w w:val="75"/>
          <w:sz w:val="18"/>
        </w:rPr>
        <w:t>.</w:t>
      </w:r>
      <w:r>
        <w:rPr>
          <w:emboss/>
          <w:color w:val="64798E"/>
          <w:spacing w:val="-7"/>
          <w:w w:val="75"/>
          <w:sz w:val="18"/>
        </w:rPr>
        <w:t>:</w:t>
      </w:r>
      <w:r>
        <w:rPr>
          <w:shadow w:val="0"/>
          <w:color w:val="64798E"/>
          <w:spacing w:val="-7"/>
          <w:w w:val="75"/>
          <w:sz w:val="18"/>
        </w:rPr>
        <w:t>t</w:t>
        <w:tab/>
      </w:r>
      <w:r>
        <w:rPr>
          <w:shadow w:val="0"/>
          <w:color w:val="64798E"/>
          <w:w w:val="75"/>
          <w:sz w:val="18"/>
        </w:rPr>
        <w:t>, ,.ir </w:t>
      </w:r>
      <w:r>
        <w:rPr>
          <w:shadow w:val="0"/>
          <w:color w:val="64798E"/>
          <w:sz w:val="18"/>
        </w:rPr>
        <w:t>·{' </w:t>
      </w:r>
      <w:r>
        <w:rPr>
          <w:rFonts w:ascii="Times New Roman" w:hAnsi="Times New Roman"/>
          <w:b/>
          <w:shadow w:val="0"/>
          <w:color w:val="1A3B56"/>
          <w:sz w:val="23"/>
        </w:rPr>
        <w:t>Australian Customs</w:t>
      </w:r>
      <w:r>
        <w:rPr>
          <w:rFonts w:ascii="Times New Roman" w:hAnsi="Times New Roman"/>
          <w:b/>
          <w:shadow w:val="0"/>
          <w:color w:val="1A3B56"/>
          <w:spacing w:val="-18"/>
          <w:sz w:val="23"/>
        </w:rPr>
        <w:t> </w:t>
      </w:r>
      <w:r>
        <w:rPr>
          <w:rFonts w:ascii="Times New Roman" w:hAnsi="Times New Roman"/>
          <w:b/>
          <w:shadow w:val="0"/>
          <w:color w:val="1A3B56"/>
          <w:sz w:val="23"/>
        </w:rPr>
        <w:t>and</w:t>
      </w:r>
    </w:p>
    <w:p>
      <w:pPr>
        <w:spacing w:before="67"/>
        <w:ind w:left="1579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1A3B56"/>
          <w:w w:val="105"/>
          <w:sz w:val="23"/>
        </w:rPr>
        <w:t>Border Protection Service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pStyle w:val="Title"/>
        <w:spacing w:line="252" w:lineRule="auto"/>
      </w:pPr>
      <w:r>
        <w:rPr/>
        <w:pict>
          <v:line style="position:absolute;mso-position-horizontal-relative:page;mso-position-vertical-relative:paragraph;z-index:15733248" from="83.660393pt,33.808933pt" to="515.424958pt,33.808933pt" stroked="true" strokeweight=".480593pt" strokecolor="#000000">
            <v:stroke dashstyle="solid"/>
            <w10:wrap type="none"/>
          </v:line>
        </w:pict>
      </w:r>
      <w:r>
        <w:rPr>
          <w:color w:val="2D2F2F"/>
        </w:rPr>
        <w:t>AUSTRALIAN CUSTOMS AND BORDER PROTECTION NOTICE NO. 2015/02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Title"/>
        <w:ind w:left="2099" w:right="1513" w:firstLine="0"/>
        <w:jc w:val="center"/>
      </w:pPr>
      <w:r>
        <w:rPr>
          <w:color w:val="2D2F2F"/>
          <w:w w:val="105"/>
        </w:rPr>
        <w:t>Review of the Harmonized Customs Tariff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254" w:lineRule="auto"/>
        <w:ind w:left="644" w:right="125" w:firstLine="2"/>
      </w:pPr>
      <w:r>
        <w:rPr>
          <w:color w:val="2D2F2F"/>
          <w:w w:val="105"/>
        </w:rPr>
        <w:t>The Harmonized Commodity Description and Coding System </w:t>
      </w:r>
      <w:r>
        <w:rPr>
          <w:color w:val="3D4241"/>
          <w:w w:val="105"/>
        </w:rPr>
        <w:t>(Harmonized </w:t>
      </w:r>
      <w:r>
        <w:rPr>
          <w:color w:val="2D2F2F"/>
          <w:w w:val="105"/>
        </w:rPr>
        <w:t>System) is a multipurpose international product nomenclature developed by the World Customs Organization (WCO). The system is used by more than 200 countries and economies, including Australia, as a basis for their Customs tariffs and for the collection of international  trade statistics. Over 98 </w:t>
      </w:r>
      <w:r>
        <w:rPr>
          <w:color w:val="3D4241"/>
          <w:w w:val="105"/>
        </w:rPr>
        <w:t>per </w:t>
      </w:r>
      <w:r>
        <w:rPr>
          <w:color w:val="2D2F2F"/>
          <w:w w:val="105"/>
        </w:rPr>
        <w:t>cent of the merchandise in international trade </w:t>
      </w:r>
      <w:r>
        <w:rPr>
          <w:color w:val="3D4241"/>
          <w:w w:val="105"/>
        </w:rPr>
        <w:t>is classified </w:t>
      </w:r>
      <w:r>
        <w:rPr>
          <w:color w:val="2D2F2F"/>
          <w:w w:val="105"/>
        </w:rPr>
        <w:t>using the HS.</w:t>
      </w:r>
    </w:p>
    <w:p>
      <w:pPr>
        <w:pStyle w:val="BodyText"/>
        <w:spacing w:before="7"/>
      </w:pPr>
    </w:p>
    <w:p>
      <w:pPr>
        <w:pStyle w:val="BodyText"/>
        <w:spacing w:line="254" w:lineRule="auto"/>
        <w:ind w:left="648" w:hanging="1"/>
      </w:pPr>
      <w:r>
        <w:rPr>
          <w:color w:val="2D2F2F"/>
          <w:w w:val="105"/>
        </w:rPr>
        <w:t>In order to keep pace with developments in technology and changes </w:t>
      </w:r>
      <w:r>
        <w:rPr>
          <w:color w:val="3D4241"/>
          <w:w w:val="105"/>
        </w:rPr>
        <w:t>in </w:t>
      </w:r>
      <w:r>
        <w:rPr>
          <w:color w:val="2D2F2F"/>
          <w:w w:val="105"/>
        </w:rPr>
        <w:t>international trading patterns, the Harmonized System is regularly reviewed and amended, with major updates </w:t>
      </w:r>
      <w:r>
        <w:rPr>
          <w:color w:val="3D4241"/>
          <w:w w:val="105"/>
        </w:rPr>
        <w:t>implemented </w:t>
      </w:r>
      <w:r>
        <w:rPr>
          <w:color w:val="2D2F2F"/>
          <w:w w:val="105"/>
        </w:rPr>
        <w:t>every </w:t>
      </w:r>
      <w:r>
        <w:rPr>
          <w:color w:val="3D4241"/>
          <w:w w:val="105"/>
        </w:rPr>
        <w:t>five </w:t>
      </w:r>
      <w:r>
        <w:rPr>
          <w:color w:val="2D2F2F"/>
          <w:w w:val="105"/>
        </w:rPr>
        <w:t>years.</w:t>
      </w:r>
    </w:p>
    <w:p>
      <w:pPr>
        <w:pStyle w:val="BodyText"/>
        <w:spacing w:before="10"/>
      </w:pPr>
    </w:p>
    <w:p>
      <w:pPr>
        <w:pStyle w:val="BodyText"/>
        <w:spacing w:line="254" w:lineRule="auto"/>
        <w:ind w:left="648" w:right="195" w:hanging="2"/>
      </w:pPr>
      <w:r>
        <w:rPr>
          <w:color w:val="2D2F2F"/>
          <w:w w:val="105"/>
        </w:rPr>
        <w:t>The WCO </w:t>
      </w:r>
      <w:r>
        <w:rPr>
          <w:color w:val="3D4241"/>
          <w:w w:val="105"/>
        </w:rPr>
        <w:t>is </w:t>
      </w:r>
      <w:r>
        <w:rPr>
          <w:color w:val="2D2F2F"/>
          <w:w w:val="105"/>
        </w:rPr>
        <w:t>commencing work on the 6</w:t>
      </w:r>
      <w:r>
        <w:rPr>
          <w:color w:val="2D2F2F"/>
          <w:w w:val="105"/>
          <w:vertAlign w:val="superscript"/>
        </w:rPr>
        <w:t>th</w:t>
      </w:r>
      <w:r>
        <w:rPr>
          <w:color w:val="2D2F2F"/>
          <w:w w:val="105"/>
          <w:vertAlign w:val="baseline"/>
        </w:rPr>
        <w:t> Review Cycle, the </w:t>
      </w:r>
      <w:r>
        <w:rPr>
          <w:color w:val="3D4241"/>
          <w:w w:val="105"/>
          <w:vertAlign w:val="baseline"/>
        </w:rPr>
        <w:t>results </w:t>
      </w:r>
      <w:r>
        <w:rPr>
          <w:color w:val="2D2F2F"/>
          <w:w w:val="105"/>
          <w:vertAlign w:val="baseline"/>
        </w:rPr>
        <w:t>of which are scheduled </w:t>
      </w:r>
      <w:r>
        <w:rPr>
          <w:color w:val="3D4241"/>
          <w:w w:val="105"/>
          <w:vertAlign w:val="baseline"/>
        </w:rPr>
        <w:t>to </w:t>
      </w:r>
      <w:r>
        <w:rPr>
          <w:color w:val="2D2F2F"/>
          <w:w w:val="105"/>
          <w:vertAlign w:val="baseline"/>
        </w:rPr>
        <w:t>be operative on and from 1 January 2022.</w:t>
      </w:r>
    </w:p>
    <w:p>
      <w:pPr>
        <w:pStyle w:val="BodyText"/>
        <w:spacing w:before="10"/>
      </w:pPr>
    </w:p>
    <w:p>
      <w:pPr>
        <w:pStyle w:val="BodyText"/>
        <w:spacing w:line="254" w:lineRule="auto"/>
        <w:ind w:left="649" w:right="195" w:hanging="3"/>
      </w:pPr>
      <w:r>
        <w:rPr>
          <w:color w:val="2D2F2F"/>
          <w:w w:val="105"/>
        </w:rPr>
        <w:t>The Australian Customs and Border Protection Service is seeking input to assist with developing the Australian agenda of submissions to </w:t>
      </w:r>
      <w:r>
        <w:rPr>
          <w:color w:val="3D4241"/>
          <w:w w:val="105"/>
        </w:rPr>
        <w:t>the </w:t>
      </w:r>
      <w:r>
        <w:rPr>
          <w:color w:val="2D2F2F"/>
          <w:w w:val="105"/>
        </w:rPr>
        <w:t>WCO. This </w:t>
      </w:r>
      <w:r>
        <w:rPr>
          <w:color w:val="3D4241"/>
          <w:w w:val="105"/>
        </w:rPr>
        <w:t>is </w:t>
      </w:r>
      <w:r>
        <w:rPr>
          <w:color w:val="2D2F2F"/>
          <w:w w:val="105"/>
        </w:rPr>
        <w:t>an opportunity for </w:t>
      </w:r>
      <w:r>
        <w:rPr>
          <w:color w:val="3D4241"/>
          <w:w w:val="105"/>
        </w:rPr>
        <w:t>users </w:t>
      </w:r>
      <w:r>
        <w:rPr>
          <w:color w:val="2D2F2F"/>
          <w:w w:val="105"/>
        </w:rPr>
        <w:t>of the Harmonized System to </w:t>
      </w:r>
      <w:r>
        <w:rPr>
          <w:color w:val="3D4241"/>
          <w:w w:val="105"/>
        </w:rPr>
        <w:t>influence </w:t>
      </w:r>
      <w:r>
        <w:rPr>
          <w:color w:val="2D2F2F"/>
          <w:w w:val="105"/>
        </w:rPr>
        <w:t>changes that will </w:t>
      </w:r>
      <w:r>
        <w:rPr>
          <w:color w:val="3D4241"/>
          <w:w w:val="105"/>
        </w:rPr>
        <w:t>better </w:t>
      </w:r>
      <w:r>
        <w:rPr>
          <w:color w:val="2D2F2F"/>
          <w:w w:val="105"/>
        </w:rPr>
        <w:t>reflect current trading patterns and technologies.</w:t>
      </w:r>
    </w:p>
    <w:p>
      <w:pPr>
        <w:pStyle w:val="BodyText"/>
        <w:spacing w:line="254" w:lineRule="auto" w:before="122"/>
        <w:ind w:left="651" w:hanging="3"/>
      </w:pPr>
      <w:r>
        <w:rPr>
          <w:color w:val="2D2F2F"/>
          <w:w w:val="105"/>
        </w:rPr>
        <w:t>Interested parties wishing to make submissions are invited to do so no later than 28 February 2015. Submissions should be addressed to </w:t>
      </w:r>
      <w:r>
        <w:rPr>
          <w:color w:val="3D4241"/>
          <w:w w:val="105"/>
        </w:rPr>
        <w:t>-</w:t>
      </w:r>
    </w:p>
    <w:p>
      <w:pPr>
        <w:pStyle w:val="BodyText"/>
        <w:spacing w:before="113"/>
        <w:ind w:left="646"/>
      </w:pPr>
      <w:r>
        <w:rPr>
          <w:color w:val="2D2F2F"/>
          <w:w w:val="105"/>
        </w:rPr>
        <w:t>Director Trade Policy and Negotiation</w:t>
      </w:r>
    </w:p>
    <w:p>
      <w:pPr>
        <w:pStyle w:val="BodyText"/>
        <w:spacing w:line="259" w:lineRule="auto" w:before="12"/>
        <w:ind w:left="648" w:right="4076" w:hanging="2"/>
      </w:pPr>
      <w:r>
        <w:rPr>
          <w:color w:val="2D2F2F"/>
          <w:w w:val="105"/>
        </w:rPr>
        <w:t>Australian Customs and Border Protection Service 5 Constitution Avenue</w:t>
      </w:r>
    </w:p>
    <w:p>
      <w:pPr>
        <w:pStyle w:val="BodyText"/>
        <w:spacing w:line="213" w:lineRule="exact"/>
        <w:ind w:left="646"/>
      </w:pPr>
      <w:r>
        <w:rPr>
          <w:color w:val="2D2F2F"/>
          <w:w w:val="105"/>
        </w:rPr>
        <w:t>CANBERRA ACT 2601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647"/>
      </w:pPr>
      <w:r>
        <w:rPr>
          <w:color w:val="2D2F2F"/>
          <w:w w:val="105"/>
        </w:rPr>
        <w:t>Submissions can be emailed to </w:t>
      </w:r>
      <w:hyperlink r:id="rId7">
        <w:r>
          <w:rPr>
            <w:color w:val="2D2F2F"/>
            <w:w w:val="105"/>
          </w:rPr>
          <w:t>tariff@customs.gov</w:t>
        </w:r>
        <w:r>
          <w:rPr>
            <w:color w:val="3D4241"/>
            <w:w w:val="105"/>
          </w:rPr>
          <w:t>.au</w:t>
        </w:r>
      </w:hyperlink>
    </w:p>
    <w:p>
      <w:pPr>
        <w:pStyle w:val="BodyText"/>
        <w:spacing w:line="254" w:lineRule="auto" w:before="132"/>
        <w:ind w:left="648" w:hanging="2"/>
      </w:pPr>
      <w:r>
        <w:rPr>
          <w:color w:val="2D2F2F"/>
          <w:w w:val="105"/>
        </w:rPr>
        <w:t>The contact point for inquiries is Manger Tariff Policy telephone number (02) 6275 6434 or fax number (02) 6275 6471.</w:t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1306737</wp:posOffset>
            </wp:positionH>
            <wp:positionV relativeFrom="paragraph">
              <wp:posOffset>133679</wp:posOffset>
            </wp:positionV>
            <wp:extent cx="1963785" cy="49987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785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4" w:lineRule="auto" w:before="125"/>
        <w:ind w:left="646" w:right="6972" w:firstLine="4"/>
      </w:pPr>
      <w:r>
        <w:rPr>
          <w:color w:val="2D2F2F"/>
          <w:w w:val="105"/>
        </w:rPr>
        <w:t>Geoff Johannes National Manager Trade Branch CANBERRA </w:t>
      </w:r>
      <w:r>
        <w:rPr>
          <w:color w:val="2D2F2F"/>
          <w:spacing w:val="3"/>
          <w:w w:val="105"/>
        </w:rPr>
        <w:t> </w:t>
      </w:r>
      <w:r>
        <w:rPr>
          <w:color w:val="2D2F2F"/>
          <w:w w:val="105"/>
        </w:rPr>
        <w:t>ACT</w:t>
      </w:r>
    </w:p>
    <w:p>
      <w:pPr>
        <w:pStyle w:val="BodyText"/>
        <w:tabs>
          <w:tab w:pos="1040" w:val="left" w:leader="none"/>
        </w:tabs>
        <w:spacing w:before="117"/>
        <w:ind w:left="538"/>
      </w:pPr>
      <w:r>
        <w:rPr>
          <w:color w:val="2D2F2F"/>
          <w:w w:val="105"/>
        </w:rPr>
        <w:t>/</w:t>
        <w:tab/>
        <w:t>January</w:t>
      </w:r>
      <w:r>
        <w:rPr>
          <w:color w:val="2D2F2F"/>
          <w:spacing w:val="-4"/>
          <w:w w:val="105"/>
        </w:rPr>
        <w:t> </w:t>
      </w:r>
      <w:r>
        <w:rPr>
          <w:color w:val="2D2F2F"/>
          <w:w w:val="105"/>
        </w:rPr>
        <w:t>2015</w:t>
      </w:r>
    </w:p>
    <w:sectPr>
      <w:type w:val="continuous"/>
      <w:pgSz w:w="11900" w:h="16840"/>
      <w:pgMar w:top="0" w:bottom="280" w:left="106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55" w:right="125" w:hanging="5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tariff@customs.gov.au" TargetMode="External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2020-12-09T22:43:29Z</dcterms:created>
  <dcterms:modified xsi:type="dcterms:W3CDTF">2020-12-09T22:43:29Z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2015-01-22T00:00:00Z</vt:filetime>
  </property>
  <property fmtid="{D5CDD505-2E9C-101B-9397-08002B2CF9AE}" pid="3" name="Creator">
    <vt:lpwstr>OmniPage CSDK 18</vt:lpwstr>
  </property>
  <property fmtid="{D5CDD505-2E9C-101B-9397-08002B2CF9AE}" pid="4" name="LastSaved">
    <vt:filetime>2020-12-09T00:00:00Z</vt:filetime>
  </property>
</Properties>
</file>