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870" w:h="16840"/>
          <w:pgMar w:top="540" w:bottom="0" w:left="1280" w:right="1640"/>
        </w:sectPr>
      </w:pPr>
    </w:p>
    <w:p>
      <w:pPr>
        <w:pStyle w:val="BodyText"/>
        <w:spacing w:before="4"/>
        <w:rPr>
          <w:rFonts w:ascii="Times New Roman"/>
          <w:sz w:val="36"/>
        </w:rPr>
      </w:pPr>
    </w:p>
    <w:p>
      <w:pPr>
        <w:spacing w:before="0"/>
        <w:ind w:left="109" w:right="0" w:firstLine="0"/>
        <w:jc w:val="lef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838706</wp:posOffset>
            </wp:positionH>
            <wp:positionV relativeFrom="paragraph">
              <wp:posOffset>-360152</wp:posOffset>
            </wp:positionV>
            <wp:extent cx="843289" cy="4625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289" cy="46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1017447</wp:posOffset>
            </wp:positionH>
            <wp:positionV relativeFrom="paragraph">
              <wp:posOffset>194006</wp:posOffset>
            </wp:positionV>
            <wp:extent cx="540805" cy="7327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05" cy="7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07295"/>
          <w:w w:val="50"/>
          <w:sz w:val="25"/>
        </w:rPr>
        <w:t>..-.,,. 't'f.m'S!.'ili.m.</w:t>
      </w:r>
      <w:r>
        <w:rPr>
          <w:rFonts w:ascii="Times New Roman"/>
          <w:color w:val="4F628E"/>
          <w:w w:val="50"/>
          <w:position w:val="-8"/>
          <w:sz w:val="23"/>
        </w:rPr>
        <w:t>. </w:t>
      </w:r>
      <w:r>
        <w:rPr>
          <w:rFonts w:ascii="Times New Roman"/>
          <w:color w:val="607295"/>
          <w:w w:val="50"/>
          <w:sz w:val="25"/>
        </w:rPr>
        <w:t>,.i.::--</w:t>
      </w:r>
    </w:p>
    <w:p>
      <w:pPr>
        <w:pStyle w:val="Heading1"/>
        <w:spacing w:before="90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2D4160"/>
          <w:w w:val="95"/>
          <w:u w:val="thick" w:color="2D4160"/>
        </w:rPr>
        <w:t>Australian</w:t>
      </w:r>
      <w:r>
        <w:rPr>
          <w:rFonts w:ascii="Times New Roman"/>
          <w:color w:val="2D4160"/>
          <w:spacing w:val="-28"/>
          <w:w w:val="95"/>
          <w:u w:val="thick" w:color="2D4160"/>
        </w:rPr>
        <w:t> </w:t>
      </w:r>
      <w:r>
        <w:rPr>
          <w:rFonts w:ascii="Times New Roman"/>
          <w:color w:val="2D4160"/>
          <w:w w:val="95"/>
          <w:u w:val="thick" w:color="2D4160"/>
        </w:rPr>
        <w:t>Government</w:t>
      </w:r>
    </w:p>
    <w:p>
      <w:pPr>
        <w:spacing w:line="280" w:lineRule="auto" w:before="130"/>
        <w:ind w:left="55" w:right="4168" w:firstLine="1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2D4160"/>
          <w:w w:val="105"/>
          <w:sz w:val="23"/>
        </w:rPr>
        <w:t>Australian Customs and Border</w:t>
      </w:r>
      <w:r>
        <w:rPr>
          <w:rFonts w:ascii="Times New Roman"/>
          <w:b/>
          <w:color w:val="2D4160"/>
          <w:spacing w:val="-34"/>
          <w:w w:val="105"/>
          <w:sz w:val="23"/>
        </w:rPr>
        <w:t> </w:t>
      </w:r>
      <w:r>
        <w:rPr>
          <w:rFonts w:ascii="Times New Roman"/>
          <w:b/>
          <w:color w:val="2D4160"/>
          <w:w w:val="105"/>
          <w:sz w:val="23"/>
        </w:rPr>
        <w:t>Protection</w:t>
      </w:r>
      <w:r>
        <w:rPr>
          <w:rFonts w:ascii="Times New Roman"/>
          <w:b/>
          <w:color w:val="2D4160"/>
          <w:spacing w:val="-25"/>
          <w:w w:val="105"/>
          <w:sz w:val="23"/>
        </w:rPr>
        <w:t> </w:t>
      </w:r>
      <w:r>
        <w:rPr>
          <w:rFonts w:ascii="Times New Roman"/>
          <w:b/>
          <w:color w:val="2D4160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pStyle w:val="Heading1"/>
        <w:ind w:left="305" w:firstLine="0"/>
      </w:pPr>
      <w:r>
        <w:rPr>
          <w:color w:val="212626"/>
          <w:w w:val="105"/>
        </w:rPr>
        <w:t>AUSTRALIAN CUSTOMS NOTICE NO. 2015/21</w:t>
      </w:r>
    </w:p>
    <w:p>
      <w:pPr>
        <w:spacing w:after="0"/>
        <w:sectPr>
          <w:type w:val="continuous"/>
          <w:pgSz w:w="11870" w:h="16840"/>
          <w:pgMar w:top="540" w:bottom="0" w:left="1280" w:right="1640"/>
          <w:cols w:num="2" w:equalWidth="0">
            <w:col w:w="1449" w:space="40"/>
            <w:col w:w="7461"/>
          </w:cols>
        </w:sectPr>
      </w:pPr>
    </w:p>
    <w:p>
      <w:pPr>
        <w:pStyle w:val="BodyText"/>
        <w:spacing w:before="10"/>
        <w:rPr>
          <w:b/>
          <w:sz w:val="20"/>
        </w:rPr>
      </w:pPr>
      <w:r>
        <w:rPr/>
        <w:pict>
          <v:line style="position:absolute;mso-position-horizontal-relative:page;mso-position-vertical-relative:page;z-index:15730176" from="23.817665pt,108.906013pt" to="592.193764pt,108.906013pt" stroked="true" strokeweight="6.4910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86.609688pt,152.540543pt" to="526.514745pt,152.540543pt" stroked="true" strokeweight=".7212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351.490997pt,829.777344pt" to="587.141532pt,829.777344pt" stroked="true" strokeweight="1.081848pt" strokecolor="#000000">
            <v:stroke dashstyle="solid"/>
            <w10:wrap type="none"/>
          </v:line>
        </w:pict>
      </w:r>
    </w:p>
    <w:p>
      <w:pPr>
        <w:spacing w:line="249" w:lineRule="auto" w:before="93"/>
        <w:ind w:left="3709" w:right="13" w:hanging="2883"/>
        <w:jc w:val="left"/>
        <w:rPr>
          <w:b/>
          <w:sz w:val="23"/>
        </w:rPr>
      </w:pPr>
      <w:r>
        <w:rPr>
          <w:b/>
          <w:color w:val="212626"/>
          <w:w w:val="105"/>
          <w:sz w:val="23"/>
        </w:rPr>
        <w:t>AMENDMENT OF AUSTRALIAN PAYMENTS CLEARING ASSOCIATION (APCA) IDENTIFIER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55"/>
      </w:pPr>
      <w:r>
        <w:rPr>
          <w:color w:val="212626"/>
          <w:w w:val="105"/>
        </w:rPr>
        <w:t>Purpose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52" w:lineRule="auto"/>
        <w:ind w:left="475" w:right="666"/>
      </w:pPr>
      <w:r>
        <w:rPr>
          <w:color w:val="212626"/>
          <w:w w:val="105"/>
        </w:rPr>
        <w:t>T</w:t>
      </w:r>
      <w:r>
        <w:rPr>
          <w:color w:val="484D4F"/>
          <w:w w:val="105"/>
        </w:rPr>
        <w:t>he </w:t>
      </w:r>
      <w:r>
        <w:rPr>
          <w:color w:val="363D3D"/>
          <w:w w:val="105"/>
        </w:rPr>
        <w:t>purpose </w:t>
      </w:r>
      <w:r>
        <w:rPr>
          <w:color w:val="484D4F"/>
          <w:w w:val="105"/>
        </w:rPr>
        <w:t>of this document is </w:t>
      </w:r>
      <w:r>
        <w:rPr>
          <w:color w:val="363D3D"/>
          <w:w w:val="105"/>
        </w:rPr>
        <w:t>to </w:t>
      </w:r>
      <w:r>
        <w:rPr>
          <w:color w:val="484D4F"/>
          <w:w w:val="105"/>
        </w:rPr>
        <w:t>provide advance notice to direct debit users of the </w:t>
      </w:r>
      <w:r>
        <w:rPr>
          <w:color w:val="363D3D"/>
          <w:w w:val="105"/>
        </w:rPr>
        <w:t>ICS that the </w:t>
      </w:r>
      <w:r>
        <w:rPr>
          <w:color w:val="484D4F"/>
          <w:w w:val="105"/>
        </w:rPr>
        <w:t>Australian Customs and </w:t>
      </w:r>
      <w:r>
        <w:rPr>
          <w:color w:val="363D3D"/>
          <w:w w:val="105"/>
        </w:rPr>
        <w:t>Border Protection Service </w:t>
      </w:r>
      <w:r>
        <w:rPr>
          <w:color w:val="484D4F"/>
          <w:w w:val="105"/>
        </w:rPr>
        <w:t>(ACBPS) APCA ID will </w:t>
      </w:r>
      <w:r>
        <w:rPr>
          <w:color w:val="363D3D"/>
          <w:w w:val="105"/>
        </w:rPr>
        <w:t>be </w:t>
      </w:r>
      <w:r>
        <w:rPr>
          <w:color w:val="484D4F"/>
          <w:w w:val="105"/>
        </w:rPr>
        <w:t>changing</w:t>
      </w:r>
      <w:r>
        <w:rPr>
          <w:color w:val="707575"/>
          <w:w w:val="105"/>
        </w:rPr>
        <w:t>. </w:t>
      </w:r>
      <w:r>
        <w:rPr>
          <w:color w:val="363D3D"/>
          <w:w w:val="105"/>
        </w:rPr>
        <w:t>This </w:t>
      </w:r>
      <w:r>
        <w:rPr>
          <w:color w:val="484D4F"/>
          <w:w w:val="105"/>
        </w:rPr>
        <w:t>will </w:t>
      </w:r>
      <w:r>
        <w:rPr>
          <w:color w:val="363D3D"/>
          <w:w w:val="105"/>
        </w:rPr>
        <w:t>occur </w:t>
      </w:r>
      <w:r>
        <w:rPr>
          <w:color w:val="484D4F"/>
          <w:w w:val="105"/>
        </w:rPr>
        <w:t>at least </w:t>
      </w:r>
      <w:r>
        <w:rPr>
          <w:color w:val="363D3D"/>
          <w:w w:val="105"/>
        </w:rPr>
        <w:t>14 </w:t>
      </w:r>
      <w:r>
        <w:rPr>
          <w:color w:val="484D4F"/>
          <w:w w:val="105"/>
        </w:rPr>
        <w:t>days after this </w:t>
      </w:r>
      <w:r>
        <w:rPr>
          <w:color w:val="363D3D"/>
          <w:w w:val="105"/>
        </w:rPr>
        <w:t>Notice </w:t>
      </w:r>
      <w:r>
        <w:rPr>
          <w:color w:val="707575"/>
          <w:w w:val="105"/>
        </w:rPr>
        <w:t>i</w:t>
      </w:r>
      <w:r>
        <w:rPr>
          <w:color w:val="484D4F"/>
          <w:w w:val="105"/>
        </w:rPr>
        <w:t>s published and p</w:t>
      </w:r>
      <w:r>
        <w:rPr>
          <w:color w:val="212626"/>
          <w:w w:val="105"/>
        </w:rPr>
        <w:t>r</w:t>
      </w:r>
      <w:r>
        <w:rPr>
          <w:color w:val="484D4F"/>
          <w:w w:val="105"/>
        </w:rPr>
        <w:t>io</w:t>
      </w:r>
      <w:r>
        <w:rPr>
          <w:color w:val="212626"/>
          <w:w w:val="105"/>
        </w:rPr>
        <w:t>r </w:t>
      </w:r>
      <w:r>
        <w:rPr>
          <w:color w:val="484D4F"/>
          <w:w w:val="105"/>
        </w:rPr>
        <w:t>to </w:t>
      </w:r>
      <w:r>
        <w:rPr>
          <w:color w:val="363D3D"/>
          <w:w w:val="105"/>
        </w:rPr>
        <w:t>1 July</w:t>
      </w:r>
      <w:r>
        <w:rPr>
          <w:color w:val="707575"/>
          <w:w w:val="105"/>
        </w:rPr>
        <w:t>.</w:t>
      </w:r>
    </w:p>
    <w:p>
      <w:pPr>
        <w:pStyle w:val="BodyText"/>
        <w:spacing w:before="3"/>
      </w:pPr>
    </w:p>
    <w:p>
      <w:pPr>
        <w:pStyle w:val="Heading2"/>
        <w:ind w:left="481"/>
      </w:pPr>
      <w:r>
        <w:rPr>
          <w:color w:val="212626"/>
          <w:w w:val="105"/>
        </w:rPr>
        <w:t>Background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49" w:lineRule="auto"/>
        <w:ind w:left="474" w:right="895" w:firstLine="3"/>
      </w:pPr>
      <w:r>
        <w:rPr>
          <w:color w:val="363D3D"/>
          <w:w w:val="105"/>
        </w:rPr>
        <w:t>In </w:t>
      </w:r>
      <w:r>
        <w:rPr>
          <w:color w:val="484D4F"/>
          <w:w w:val="105"/>
        </w:rPr>
        <w:t>preparation fo</w:t>
      </w:r>
      <w:r>
        <w:rPr>
          <w:color w:val="212626"/>
          <w:w w:val="105"/>
        </w:rPr>
        <w:t>r </w:t>
      </w:r>
      <w:r>
        <w:rPr>
          <w:color w:val="484D4F"/>
          <w:w w:val="105"/>
        </w:rPr>
        <w:t>the </w:t>
      </w:r>
      <w:r>
        <w:rPr>
          <w:color w:val="363D3D"/>
          <w:w w:val="105"/>
        </w:rPr>
        <w:t>merger </w:t>
      </w:r>
      <w:r>
        <w:rPr>
          <w:color w:val="484D4F"/>
          <w:w w:val="105"/>
        </w:rPr>
        <w:t>between </w:t>
      </w:r>
      <w:r>
        <w:rPr>
          <w:color w:val="363D3D"/>
          <w:w w:val="105"/>
        </w:rPr>
        <w:t>the ACBPS </w:t>
      </w:r>
      <w:r>
        <w:rPr>
          <w:color w:val="484D4F"/>
          <w:w w:val="105"/>
        </w:rPr>
        <w:t>and the </w:t>
      </w:r>
      <w:r>
        <w:rPr>
          <w:color w:val="363D3D"/>
          <w:w w:val="105"/>
        </w:rPr>
        <w:t>Department </w:t>
      </w:r>
      <w:r>
        <w:rPr>
          <w:color w:val="484D4F"/>
          <w:w w:val="105"/>
        </w:rPr>
        <w:t>of Immigrat</w:t>
      </w:r>
      <w:r>
        <w:rPr>
          <w:color w:val="707575"/>
          <w:w w:val="105"/>
        </w:rPr>
        <w:t>i</w:t>
      </w:r>
      <w:r>
        <w:rPr>
          <w:color w:val="484D4F"/>
          <w:w w:val="105"/>
        </w:rPr>
        <w:t>on and </w:t>
      </w:r>
      <w:r>
        <w:rPr>
          <w:color w:val="363D3D"/>
          <w:w w:val="105"/>
        </w:rPr>
        <w:t>Border Protection </w:t>
      </w:r>
      <w:r>
        <w:rPr>
          <w:color w:val="484D4F"/>
          <w:w w:val="105"/>
        </w:rPr>
        <w:t>(DIBP) on 1 </w:t>
      </w:r>
      <w:r>
        <w:rPr>
          <w:color w:val="363D3D"/>
          <w:w w:val="105"/>
        </w:rPr>
        <w:t>July </w:t>
      </w:r>
      <w:r>
        <w:rPr>
          <w:color w:val="484D4F"/>
          <w:w w:val="105"/>
        </w:rPr>
        <w:t>2015 notice has </w:t>
      </w:r>
      <w:r>
        <w:rPr>
          <w:color w:val="363D3D"/>
          <w:w w:val="105"/>
        </w:rPr>
        <w:t>to </w:t>
      </w:r>
      <w:r>
        <w:rPr>
          <w:color w:val="484D4F"/>
          <w:w w:val="105"/>
        </w:rPr>
        <w:t>be given </w:t>
      </w:r>
      <w:r>
        <w:rPr>
          <w:color w:val="363D3D"/>
          <w:w w:val="105"/>
        </w:rPr>
        <w:t>to Direct Debit </w:t>
      </w:r>
      <w:r>
        <w:rPr>
          <w:color w:val="484D4F"/>
          <w:w w:val="105"/>
        </w:rPr>
        <w:t>users of the </w:t>
      </w:r>
      <w:r>
        <w:rPr>
          <w:color w:val="212626"/>
          <w:w w:val="105"/>
        </w:rPr>
        <w:t>I</w:t>
      </w:r>
      <w:r>
        <w:rPr>
          <w:color w:val="484D4F"/>
          <w:w w:val="105"/>
        </w:rPr>
        <w:t>CS </w:t>
      </w:r>
      <w:r>
        <w:rPr>
          <w:color w:val="363D3D"/>
          <w:w w:val="105"/>
        </w:rPr>
        <w:t>that </w:t>
      </w:r>
      <w:r>
        <w:rPr>
          <w:color w:val="484D4F"/>
          <w:w w:val="105"/>
        </w:rPr>
        <w:t>our </w:t>
      </w:r>
      <w:r>
        <w:rPr>
          <w:color w:val="363D3D"/>
          <w:w w:val="105"/>
        </w:rPr>
        <w:t>APCA </w:t>
      </w:r>
      <w:r>
        <w:rPr>
          <w:color w:val="212626"/>
          <w:w w:val="105"/>
        </w:rPr>
        <w:t>ID </w:t>
      </w:r>
      <w:r>
        <w:rPr>
          <w:color w:val="484D4F"/>
          <w:w w:val="105"/>
        </w:rPr>
        <w:t>will change</w:t>
      </w:r>
      <w:r>
        <w:rPr>
          <w:color w:val="707575"/>
          <w:w w:val="105"/>
        </w:rPr>
        <w:t>. </w:t>
      </w:r>
      <w:r>
        <w:rPr>
          <w:color w:val="484D4F"/>
          <w:w w:val="105"/>
        </w:rPr>
        <w:t>Our previous APCA </w:t>
      </w:r>
      <w:r>
        <w:rPr>
          <w:color w:val="363D3D"/>
          <w:w w:val="105"/>
        </w:rPr>
        <w:t>ID </w:t>
      </w:r>
      <w:r>
        <w:rPr>
          <w:color w:val="484D4F"/>
          <w:w w:val="105"/>
        </w:rPr>
        <w:t>was 250406 which was aligned with a Westpac account. When this change occurs the new APCA </w:t>
      </w:r>
      <w:r>
        <w:rPr>
          <w:color w:val="363D3D"/>
          <w:w w:val="105"/>
        </w:rPr>
        <w:t>ID </w:t>
      </w:r>
      <w:r>
        <w:rPr>
          <w:color w:val="484D4F"/>
          <w:w w:val="105"/>
        </w:rPr>
        <w:t>will be 406224 which will be aligned with a CBA account.</w:t>
      </w:r>
    </w:p>
    <w:p>
      <w:pPr>
        <w:pStyle w:val="BodyText"/>
        <w:spacing w:before="9"/>
      </w:pPr>
    </w:p>
    <w:p>
      <w:pPr>
        <w:pStyle w:val="Heading2"/>
        <w:ind w:left="480"/>
      </w:pPr>
      <w:r>
        <w:rPr>
          <w:color w:val="212626"/>
          <w:w w:val="105"/>
        </w:rPr>
        <w:t>What should I do?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spacing w:line="249" w:lineRule="auto" w:before="1"/>
        <w:ind w:left="478" w:right="895"/>
      </w:pPr>
      <w:r>
        <w:rPr>
          <w:color w:val="484D4F"/>
          <w:w w:val="105"/>
        </w:rPr>
        <w:t>Current direct debit users will </w:t>
      </w:r>
      <w:r>
        <w:rPr>
          <w:color w:val="363D3D"/>
          <w:w w:val="105"/>
        </w:rPr>
        <w:t>not </w:t>
      </w:r>
      <w:r>
        <w:rPr>
          <w:color w:val="484D4F"/>
          <w:w w:val="105"/>
        </w:rPr>
        <w:t>be impacted by this change and will not be required </w:t>
      </w:r>
      <w:r>
        <w:rPr>
          <w:color w:val="363D3D"/>
          <w:w w:val="105"/>
        </w:rPr>
        <w:t>to </w:t>
      </w:r>
      <w:r>
        <w:rPr>
          <w:color w:val="484D4F"/>
          <w:w w:val="105"/>
        </w:rPr>
        <w:t>do anything</w:t>
      </w:r>
      <w:r>
        <w:rPr>
          <w:color w:val="707575"/>
          <w:w w:val="105"/>
        </w:rPr>
        <w:t>. </w:t>
      </w:r>
      <w:r>
        <w:rPr>
          <w:color w:val="484D4F"/>
          <w:w w:val="105"/>
        </w:rPr>
        <w:t>Any clients who </w:t>
      </w:r>
      <w:r>
        <w:rPr>
          <w:color w:val="363D3D"/>
          <w:w w:val="105"/>
        </w:rPr>
        <w:t>request </w:t>
      </w:r>
      <w:r>
        <w:rPr>
          <w:color w:val="484D4F"/>
          <w:w w:val="105"/>
        </w:rPr>
        <w:t>subsequent amendments or addi</w:t>
      </w:r>
      <w:r>
        <w:rPr>
          <w:color w:val="212626"/>
          <w:w w:val="105"/>
        </w:rPr>
        <w:t>t</w:t>
      </w:r>
      <w:r>
        <w:rPr>
          <w:color w:val="484D4F"/>
          <w:w w:val="105"/>
        </w:rPr>
        <w:t>ions to </w:t>
      </w:r>
      <w:r>
        <w:rPr>
          <w:color w:val="363D3D"/>
          <w:w w:val="105"/>
        </w:rPr>
        <w:t>Direct Debit </w:t>
      </w:r>
      <w:r>
        <w:rPr>
          <w:color w:val="484D4F"/>
          <w:w w:val="105"/>
        </w:rPr>
        <w:t>details will </w:t>
      </w:r>
      <w:r>
        <w:rPr>
          <w:color w:val="363D3D"/>
          <w:w w:val="105"/>
        </w:rPr>
        <w:t>be </w:t>
      </w:r>
      <w:r>
        <w:rPr>
          <w:color w:val="484D4F"/>
          <w:w w:val="105"/>
        </w:rPr>
        <w:t>required to use the new APCA </w:t>
      </w:r>
      <w:r>
        <w:rPr>
          <w:color w:val="363D3D"/>
          <w:w w:val="105"/>
        </w:rPr>
        <w:t>ID </w:t>
      </w:r>
      <w:r>
        <w:rPr>
          <w:color w:val="484D4F"/>
          <w:w w:val="105"/>
        </w:rPr>
        <w:t>and provide</w:t>
      </w:r>
      <w:r>
        <w:rPr>
          <w:color w:val="212626"/>
          <w:w w:val="105"/>
        </w:rPr>
        <w:t>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ind w:left="480"/>
      </w:pPr>
      <w:r>
        <w:rPr>
          <w:color w:val="363D3D"/>
          <w:w w:val="105"/>
        </w:rPr>
        <w:t>Enquiries </w:t>
      </w:r>
      <w:r>
        <w:rPr>
          <w:color w:val="484D4F"/>
          <w:w w:val="105"/>
        </w:rPr>
        <w:t>concerning </w:t>
      </w:r>
      <w:r>
        <w:rPr>
          <w:color w:val="212626"/>
          <w:w w:val="105"/>
        </w:rPr>
        <w:t>t</w:t>
      </w:r>
      <w:r>
        <w:rPr>
          <w:color w:val="484D4F"/>
          <w:w w:val="105"/>
        </w:rPr>
        <w:t>his notice may be directed to </w:t>
      </w:r>
      <w:hyperlink r:id="rId7">
        <w:r>
          <w:rPr>
            <w:color w:val="4F628E"/>
            <w:w w:val="105"/>
            <w:u w:val="thick" w:color="4F628E"/>
          </w:rPr>
          <w:t>icsbusinesssupport@customs</w:t>
        </w:r>
        <w:r>
          <w:rPr>
            <w:color w:val="75879A"/>
            <w:w w:val="105"/>
            <w:u w:val="thick" w:color="4F628E"/>
          </w:rPr>
          <w:t>.</w:t>
        </w:r>
        <w:r>
          <w:rPr>
            <w:color w:val="4F628E"/>
            <w:w w:val="105"/>
            <w:u w:val="thick" w:color="4F628E"/>
          </w:rPr>
          <w:t>gov.au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left="481"/>
      </w:pPr>
      <w:r>
        <w:rPr>
          <w:color w:val="484D4F"/>
          <w:w w:val="105"/>
        </w:rPr>
        <w:t>Assistant Secretary</w:t>
      </w:r>
    </w:p>
    <w:p>
      <w:pPr>
        <w:pStyle w:val="BodyText"/>
        <w:spacing w:line="254" w:lineRule="auto" w:before="13"/>
        <w:ind w:left="473" w:right="5760" w:hanging="2"/>
      </w:pPr>
      <w:r>
        <w:rPr>
          <w:color w:val="484D4F"/>
          <w:w w:val="105"/>
        </w:rPr>
        <w:t>Customs and Industry </w:t>
      </w:r>
      <w:r>
        <w:rPr>
          <w:color w:val="363D3D"/>
          <w:w w:val="105"/>
        </w:rPr>
        <w:t>Branch </w:t>
      </w:r>
      <w:r>
        <w:rPr>
          <w:color w:val="484D4F"/>
          <w:w w:val="105"/>
        </w:rPr>
        <w:t>9 </w:t>
      </w:r>
      <w:r>
        <w:rPr>
          <w:color w:val="363D3D"/>
          <w:w w:val="105"/>
        </w:rPr>
        <w:t>June </w:t>
      </w:r>
      <w:r>
        <w:rPr>
          <w:color w:val="484D4F"/>
          <w:w w:val="105"/>
        </w:rPr>
        <w:t>2015</w:t>
      </w:r>
    </w:p>
    <w:p>
      <w:pPr>
        <w:pStyle w:val="BodyText"/>
        <w:spacing w:line="210" w:lineRule="exact"/>
        <w:ind w:left="478"/>
      </w:pPr>
      <w:r>
        <w:rPr>
          <w:color w:val="484D4F"/>
          <w:w w:val="105"/>
        </w:rPr>
        <w:t>CANBERRA ACT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152.649582pt;margin-top:16.712954pt;width:128.15pt;height:.1pt;mso-position-horizontal-relative:page;mso-position-vertical-relative:paragraph;z-index:-15728640;mso-wrap-distance-left:0;mso-wrap-distance-right:0" coordorigin="3053,334" coordsize="2563,0" path="m3053,334l5615,334e" filled="false" stroked="true" strokeweight=".721232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870" w:h="16840"/>
      <w:pgMar w:top="540" w:bottom="0" w:left="12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" w:hanging="1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4"/>
      <w:outlineLvl w:val="2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icsbusinesssupport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cp:keywords>Amendment, APCA, Austalian Payments Clearing Association, identifier, Australian Customs Notice No. 2015/21, Australian Customs and Border Protection Service</cp:keywords>
  <dc:subject>Amendment of Austalian Payments Clearing Association (APCA) identifier</dc:subject>
  <dc:title>Australian Customs Notice No. 2015/21</dc:title>
  <dcterms:created xsi:type="dcterms:W3CDTF">2020-12-09T23:04:26Z</dcterms:created>
  <dcterms:modified xsi:type="dcterms:W3CDTF">2020-12-09T23:04:26Z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Creator">
    <vt:lpwstr>PaperPort 11.0</vt:lpwstr>
  </property>
  <property fmtid="{D5CDD505-2E9C-101B-9397-08002B2CF9AE}" pid="4" name="LastSaved">
    <vt:filetime>2020-12-09T00:00:00Z</vt:filetime>
  </property>
</Properties>
</file>