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ge;z-index:15730688" from="12.500978pt,115.101974pt" to="584.661149pt,115.101974pt" stroked="true" strokeweight="7.929781pt" strokecolor="#000000">
            <v:stroke dashstyle="solid"/>
            <w10:wrap type="none"/>
          </v:line>
        </w:pict>
      </w:r>
    </w:p>
    <w:p>
      <w:pPr>
        <w:spacing w:line="212" w:lineRule="exact" w:before="92"/>
        <w:ind w:left="1815" w:right="0" w:firstLine="0"/>
        <w:jc w:val="left"/>
        <w:rPr>
          <w:rFonts w:ascii="Times New Roman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512924</wp:posOffset>
            </wp:positionH>
            <wp:positionV relativeFrom="paragraph">
              <wp:posOffset>-103776</wp:posOffset>
            </wp:positionV>
            <wp:extent cx="610624" cy="28076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24" cy="280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/>
      </w:r>
      <w:r>
        <w:rPr>
          <w:rFonts w:ascii="Times New Roman"/>
          <w:b/>
          <w:color w:val="262626"/>
          <w:w w:val="110"/>
          <w:sz w:val="20"/>
          <w:u w:val="thick" w:color="262626"/>
        </w:rPr>
        <w:t>Australian Government</w:t>
      </w:r>
    </w:p>
    <w:p>
      <w:pPr>
        <w:tabs>
          <w:tab w:pos="1506" w:val="left" w:leader="none"/>
          <w:tab w:pos="1804" w:val="left" w:leader="none"/>
        </w:tabs>
        <w:spacing w:line="378" w:lineRule="exact" w:before="0"/>
        <w:ind w:left="851" w:right="0" w:firstLine="0"/>
        <w:jc w:val="left"/>
        <w:rPr>
          <w:rFonts w:ascii="Times New Roman" w:hAnsi="Times New Roman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44832">
            <wp:simplePos x="0" y="0"/>
            <wp:positionH relativeFrom="page">
              <wp:posOffset>537349</wp:posOffset>
            </wp:positionH>
            <wp:positionV relativeFrom="paragraph">
              <wp:posOffset>154715</wp:posOffset>
            </wp:positionV>
            <wp:extent cx="525137" cy="9765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37" cy="97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858585"/>
          <w:spacing w:val="-39"/>
          <w:w w:val="100"/>
          <w:position w:val="11"/>
          <w:sz w:val="26"/>
        </w:rPr>
        <w:t>.</w:t>
      </w:r>
      <w:r>
        <w:rPr>
          <w:rFonts w:ascii="Times New Roman" w:hAnsi="Times New Roman"/>
          <w:color w:val="858585"/>
          <w:w w:val="49"/>
          <w:position w:val="11"/>
          <w:sz w:val="26"/>
        </w:rPr>
        <w:t>-</w:t>
      </w:r>
      <w:r>
        <w:rPr>
          <w:rFonts w:ascii="Times New Roman" w:hAnsi="Times New Roman"/>
          <w:color w:val="858585"/>
          <w:spacing w:val="22"/>
          <w:position w:val="11"/>
          <w:sz w:val="26"/>
        </w:rPr>
        <w:t> </w:t>
      </w:r>
      <w:r>
        <w:rPr>
          <w:rFonts w:ascii="Times New Roman" w:hAnsi="Times New Roman"/>
          <w:color w:val="858585"/>
          <w:w w:val="86"/>
          <w:position w:val="11"/>
          <w:sz w:val="26"/>
        </w:rPr>
        <w:t>-</w:t>
      </w:r>
      <w:r>
        <w:rPr>
          <w:rFonts w:ascii="Times New Roman" w:hAnsi="Times New Roman"/>
          <w:color w:val="858585"/>
          <w:spacing w:val="31"/>
          <w:position w:val="11"/>
          <w:sz w:val="26"/>
        </w:rPr>
        <w:t> </w:t>
      </w:r>
      <w:r>
        <w:rPr>
          <w:rFonts w:ascii="Times New Roman" w:hAnsi="Times New Roman"/>
          <w:color w:val="858585"/>
          <w:w w:val="71"/>
          <w:position w:val="11"/>
          <w:sz w:val="26"/>
        </w:rPr>
        <w:t>l</w:t>
      </w:r>
      <w:r>
        <w:rPr>
          <w:rFonts w:ascii="Times New Roman" w:hAnsi="Times New Roman"/>
          <w:color w:val="858585"/>
          <w:position w:val="11"/>
          <w:sz w:val="26"/>
        </w:rPr>
        <w:tab/>
      </w:r>
      <w:r>
        <w:rPr>
          <w:rFonts w:ascii="Times New Roman" w:hAnsi="Times New Roman"/>
          <w:color w:val="444446"/>
          <w:w w:val="100"/>
          <w:sz w:val="20"/>
        </w:rPr>
        <w:t>·</w:t>
      </w:r>
      <w:r>
        <w:rPr>
          <w:rFonts w:ascii="Times New Roman" w:hAnsi="Times New Roman"/>
          <w:color w:val="444446"/>
          <w:sz w:val="20"/>
        </w:rPr>
        <w:tab/>
      </w:r>
      <w:r>
        <w:rPr>
          <w:rFonts w:ascii="Times New Roman" w:hAnsi="Times New Roman"/>
          <w:b/>
          <w:color w:val="262626"/>
          <w:spacing w:val="-1"/>
          <w:w w:val="102"/>
          <w:sz w:val="20"/>
        </w:rPr>
        <w:t>Departmen</w:t>
      </w:r>
      <w:r>
        <w:rPr>
          <w:rFonts w:ascii="Times New Roman" w:hAnsi="Times New Roman"/>
          <w:b/>
          <w:color w:val="262626"/>
          <w:w w:val="102"/>
          <w:sz w:val="20"/>
        </w:rPr>
        <w:t>t</w:t>
      </w:r>
      <w:r>
        <w:rPr>
          <w:rFonts w:ascii="Times New Roman" w:hAnsi="Times New Roman"/>
          <w:b/>
          <w:color w:val="262626"/>
          <w:spacing w:val="15"/>
          <w:sz w:val="20"/>
        </w:rPr>
        <w:t> </w:t>
      </w:r>
      <w:r>
        <w:rPr>
          <w:rFonts w:ascii="Times New Roman" w:hAnsi="Times New Roman"/>
          <w:b/>
          <w:color w:val="262626"/>
          <w:w w:val="107"/>
          <w:sz w:val="20"/>
        </w:rPr>
        <w:t>oflmmigration</w:t>
      </w:r>
    </w:p>
    <w:p>
      <w:pPr>
        <w:spacing w:before="1"/>
        <w:ind w:left="1798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262626"/>
          <w:sz w:val="20"/>
        </w:rPr>
        <w:t>and Border Protection</w:t>
      </w: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spacing w:before="5"/>
        <w:rPr>
          <w:rFonts w:ascii="Times New Roman"/>
          <w:b/>
          <w:sz w:val="26"/>
        </w:rPr>
      </w:pPr>
    </w:p>
    <w:p>
      <w:pPr>
        <w:pStyle w:val="Heading1"/>
        <w:ind w:right="667"/>
      </w:pPr>
      <w:r>
        <w:rPr>
          <w:color w:val="262626"/>
        </w:rPr>
        <w:t>DEPARTMENT OF IMMIGRATION AND BORDER PROTECTION NOTICE</w:t>
      </w:r>
    </w:p>
    <w:p>
      <w:pPr>
        <w:spacing w:before="219"/>
        <w:ind w:left="1262" w:right="210" w:firstLine="0"/>
        <w:jc w:val="center"/>
        <w:rPr>
          <w:b/>
          <w:sz w:val="27"/>
        </w:rPr>
      </w:pPr>
      <w:r>
        <w:rPr/>
        <w:pict>
          <v:line style="position:absolute;mso-position-horizontal-relative:page;mso-position-vertical-relative:paragraph;z-index:15731200" from="56.73521pt,30.821674pt" to="563.505647pt,30.821674pt" stroked="true" strokeweight=".480593pt" strokecolor="#000000">
            <v:stroke dashstyle="solid"/>
            <w10:wrap type="none"/>
          </v:line>
        </w:pict>
      </w:r>
      <w:r>
        <w:rPr>
          <w:b/>
          <w:color w:val="262626"/>
          <w:sz w:val="27"/>
        </w:rPr>
        <w:t>No.2015/27</w:t>
      </w:r>
    </w:p>
    <w:p>
      <w:pPr>
        <w:pStyle w:val="BodyText"/>
        <w:spacing w:before="8"/>
        <w:rPr>
          <w:b/>
          <w:sz w:val="32"/>
        </w:rPr>
      </w:pPr>
    </w:p>
    <w:p>
      <w:pPr>
        <w:pStyle w:val="Heading1"/>
        <w:ind w:right="659"/>
      </w:pPr>
      <w:r>
        <w:rPr>
          <w:color w:val="262626"/>
        </w:rPr>
        <w:t>Declaration of asbestos in certain children's toys</w:t>
      </w:r>
    </w:p>
    <w:p>
      <w:pPr>
        <w:pStyle w:val="BodyText"/>
        <w:spacing w:before="11"/>
        <w:rPr>
          <w:b/>
          <w:sz w:val="33"/>
        </w:rPr>
      </w:pPr>
    </w:p>
    <w:p>
      <w:pPr>
        <w:pStyle w:val="BodyText"/>
        <w:spacing w:line="252" w:lineRule="auto"/>
        <w:ind w:left="610" w:hanging="1"/>
      </w:pPr>
      <w:r>
        <w:rPr>
          <w:color w:val="262626"/>
          <w:w w:val="105"/>
        </w:rPr>
        <w:t>The importation of asbestos or goods containing asbestos into Australia without permission is prohib</w:t>
      </w:r>
      <w:r>
        <w:rPr>
          <w:color w:val="444446"/>
          <w:w w:val="105"/>
        </w:rPr>
        <w:t>i</w:t>
      </w:r>
      <w:r>
        <w:rPr>
          <w:color w:val="262626"/>
          <w:w w:val="105"/>
        </w:rPr>
        <w:t>ted under the </w:t>
      </w:r>
      <w:r>
        <w:rPr>
          <w:i/>
          <w:color w:val="262626"/>
          <w:w w:val="105"/>
        </w:rPr>
        <w:t>Customs (Prohibited Imports) Regulations 1956. </w:t>
      </w:r>
      <w:r>
        <w:rPr>
          <w:color w:val="262626"/>
          <w:w w:val="105"/>
        </w:rPr>
        <w:t>The onus is upon the importer to ensure all border requirements are met for goods containing asbestos.</w:t>
      </w:r>
    </w:p>
    <w:p>
      <w:pPr>
        <w:pStyle w:val="BodyText"/>
        <w:spacing w:line="252" w:lineRule="auto" w:before="119"/>
        <w:ind w:left="606" w:firstLine="3"/>
      </w:pPr>
      <w:r>
        <w:rPr>
          <w:color w:val="262626"/>
          <w:w w:val="105"/>
        </w:rPr>
        <w:t>To assist in the </w:t>
      </w:r>
      <w:r>
        <w:rPr>
          <w:color w:val="444446"/>
          <w:w w:val="105"/>
        </w:rPr>
        <w:t>i</w:t>
      </w:r>
      <w:r>
        <w:rPr>
          <w:color w:val="262626"/>
          <w:w w:val="105"/>
        </w:rPr>
        <w:t>dent</w:t>
      </w:r>
      <w:r>
        <w:rPr>
          <w:color w:val="444446"/>
          <w:w w:val="105"/>
        </w:rPr>
        <w:t>i</w:t>
      </w:r>
      <w:r>
        <w:rPr>
          <w:color w:val="262626"/>
          <w:w w:val="105"/>
        </w:rPr>
        <w:t>fication at the border of certain toys at risk of being manufactured with asbestos</w:t>
      </w:r>
      <w:r>
        <w:rPr>
          <w:color w:val="60605E"/>
          <w:w w:val="105"/>
        </w:rPr>
        <w:t>, </w:t>
      </w:r>
      <w:r>
        <w:rPr>
          <w:color w:val="262626"/>
          <w:w w:val="105"/>
        </w:rPr>
        <w:t>or components containing asbestos</w:t>
      </w:r>
      <w:r>
        <w:rPr>
          <w:color w:val="444446"/>
          <w:w w:val="105"/>
        </w:rPr>
        <w:t>, </w:t>
      </w:r>
      <w:r>
        <w:rPr>
          <w:color w:val="262626"/>
          <w:w w:val="105"/>
        </w:rPr>
        <w:t>a Community Protection Question will be required to be answered upon lodgement of shipments containing children</w:t>
      </w:r>
      <w:r>
        <w:rPr>
          <w:color w:val="444446"/>
          <w:w w:val="105"/>
        </w:rPr>
        <w:t>'</w:t>
      </w:r>
      <w:r>
        <w:rPr>
          <w:color w:val="262626"/>
          <w:w w:val="105"/>
        </w:rPr>
        <w:t>s crayons and toys in sets</w:t>
      </w:r>
      <w:r>
        <w:rPr>
          <w:color w:val="60605E"/>
          <w:w w:val="105"/>
        </w:rPr>
        <w:t>, </w:t>
      </w:r>
      <w:r>
        <w:rPr>
          <w:color w:val="262626"/>
          <w:w w:val="105"/>
        </w:rPr>
        <w:t>with Country of Origin: Ch</w:t>
      </w:r>
      <w:r>
        <w:rPr>
          <w:color w:val="444446"/>
          <w:w w:val="105"/>
        </w:rPr>
        <w:t>i</w:t>
      </w:r>
      <w:r>
        <w:rPr>
          <w:color w:val="262626"/>
          <w:w w:val="105"/>
        </w:rPr>
        <w:t>na (CN)</w:t>
      </w:r>
      <w:r>
        <w:rPr>
          <w:color w:val="444446"/>
          <w:w w:val="105"/>
        </w:rPr>
        <w:t>.</w:t>
      </w:r>
    </w:p>
    <w:p>
      <w:pPr>
        <w:pStyle w:val="BodyText"/>
        <w:spacing w:before="118"/>
        <w:ind w:left="610"/>
      </w:pPr>
      <w:r>
        <w:rPr>
          <w:color w:val="262626"/>
          <w:w w:val="105"/>
        </w:rPr>
        <w:t>The importation of asbestos is permitted under the following limited circumstances</w:t>
      </w:r>
      <w:r>
        <w:rPr>
          <w:color w:val="444446"/>
          <w:w w:val="105"/>
        </w:rPr>
        <w:t>:</w:t>
      </w:r>
    </w:p>
    <w:p>
      <w:pPr>
        <w:pStyle w:val="ListParagraph"/>
        <w:numPr>
          <w:ilvl w:val="0"/>
          <w:numId w:val="1"/>
        </w:numPr>
        <w:tabs>
          <w:tab w:pos="1327" w:val="left" w:leader="none"/>
          <w:tab w:pos="1328" w:val="left" w:leader="none"/>
        </w:tabs>
        <w:spacing w:line="240" w:lineRule="auto" w:before="148" w:after="0"/>
        <w:ind w:left="1327" w:right="0" w:hanging="364"/>
        <w:jc w:val="left"/>
        <w:rPr>
          <w:sz w:val="21"/>
        </w:rPr>
      </w:pPr>
      <w:r>
        <w:rPr>
          <w:color w:val="262626"/>
          <w:w w:val="105"/>
          <w:sz w:val="21"/>
        </w:rPr>
        <w:t>the goods are raw materials that contain naturally occurring traces of asbestos</w:t>
      </w:r>
      <w:r>
        <w:rPr>
          <w:color w:val="444446"/>
          <w:w w:val="105"/>
          <w:sz w:val="21"/>
        </w:rPr>
        <w:t>;</w:t>
      </w:r>
      <w:r>
        <w:rPr>
          <w:color w:val="444446"/>
          <w:spacing w:val="26"/>
          <w:w w:val="105"/>
          <w:sz w:val="21"/>
        </w:rPr>
        <w:t> </w:t>
      </w:r>
      <w:r>
        <w:rPr>
          <w:color w:val="262626"/>
          <w:w w:val="105"/>
          <w:sz w:val="21"/>
        </w:rPr>
        <w:t>or</w:t>
      </w:r>
    </w:p>
    <w:p>
      <w:pPr>
        <w:pStyle w:val="ListParagraph"/>
        <w:numPr>
          <w:ilvl w:val="0"/>
          <w:numId w:val="1"/>
        </w:numPr>
        <w:tabs>
          <w:tab w:pos="1327" w:val="left" w:leader="none"/>
          <w:tab w:pos="1328" w:val="left" w:leader="none"/>
        </w:tabs>
        <w:spacing w:line="252" w:lineRule="auto" w:before="143" w:after="0"/>
        <w:ind w:left="1328" w:right="404" w:hanging="365"/>
        <w:jc w:val="left"/>
        <w:rPr>
          <w:sz w:val="21"/>
        </w:rPr>
      </w:pPr>
      <w:r>
        <w:rPr>
          <w:color w:val="262626"/>
          <w:w w:val="105"/>
          <w:sz w:val="21"/>
        </w:rPr>
        <w:t>the</w:t>
      </w:r>
      <w:r>
        <w:rPr>
          <w:color w:val="262626"/>
          <w:spacing w:val="-8"/>
          <w:w w:val="105"/>
          <w:sz w:val="21"/>
        </w:rPr>
        <w:t> </w:t>
      </w:r>
      <w:r>
        <w:rPr>
          <w:color w:val="262626"/>
          <w:w w:val="105"/>
          <w:sz w:val="21"/>
        </w:rPr>
        <w:t>goods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are</w:t>
      </w:r>
      <w:r>
        <w:rPr>
          <w:color w:val="262626"/>
          <w:spacing w:val="-3"/>
          <w:w w:val="105"/>
          <w:sz w:val="21"/>
        </w:rPr>
        <w:t> </w:t>
      </w:r>
      <w:r>
        <w:rPr>
          <w:color w:val="444446"/>
          <w:w w:val="105"/>
          <w:sz w:val="21"/>
        </w:rPr>
        <w:t>'</w:t>
      </w:r>
      <w:r>
        <w:rPr>
          <w:color w:val="262626"/>
          <w:w w:val="105"/>
          <w:sz w:val="21"/>
        </w:rPr>
        <w:t>hazardous</w:t>
      </w:r>
      <w:r>
        <w:rPr>
          <w:color w:val="262626"/>
          <w:spacing w:val="-31"/>
          <w:w w:val="105"/>
          <w:sz w:val="21"/>
        </w:rPr>
        <w:t> </w:t>
      </w:r>
      <w:r>
        <w:rPr>
          <w:color w:val="262626"/>
          <w:w w:val="105"/>
          <w:sz w:val="21"/>
        </w:rPr>
        <w:t>waste'</w:t>
      </w:r>
      <w:r>
        <w:rPr>
          <w:color w:val="262626"/>
          <w:spacing w:val="5"/>
          <w:w w:val="105"/>
          <w:sz w:val="21"/>
        </w:rPr>
        <w:t> </w:t>
      </w:r>
      <w:r>
        <w:rPr>
          <w:color w:val="262626"/>
          <w:w w:val="105"/>
          <w:sz w:val="21"/>
        </w:rPr>
        <w:t>as</w:t>
      </w:r>
      <w:r>
        <w:rPr>
          <w:color w:val="262626"/>
          <w:spacing w:val="-10"/>
          <w:w w:val="105"/>
          <w:sz w:val="21"/>
        </w:rPr>
        <w:t> </w:t>
      </w:r>
      <w:r>
        <w:rPr>
          <w:color w:val="262626"/>
          <w:w w:val="105"/>
          <w:sz w:val="21"/>
        </w:rPr>
        <w:t>defined</w:t>
      </w:r>
      <w:r>
        <w:rPr>
          <w:color w:val="262626"/>
          <w:spacing w:val="3"/>
          <w:w w:val="105"/>
          <w:sz w:val="21"/>
        </w:rPr>
        <w:t> </w:t>
      </w:r>
      <w:r>
        <w:rPr>
          <w:color w:val="262626"/>
          <w:w w:val="105"/>
          <w:sz w:val="21"/>
        </w:rPr>
        <w:t>in</w:t>
      </w:r>
      <w:r>
        <w:rPr>
          <w:color w:val="262626"/>
          <w:spacing w:val="-14"/>
          <w:w w:val="105"/>
          <w:sz w:val="21"/>
        </w:rPr>
        <w:t> </w:t>
      </w:r>
      <w:r>
        <w:rPr>
          <w:color w:val="262626"/>
          <w:w w:val="105"/>
          <w:sz w:val="21"/>
        </w:rPr>
        <w:t>the</w:t>
      </w:r>
      <w:r>
        <w:rPr>
          <w:color w:val="262626"/>
          <w:spacing w:val="-10"/>
          <w:w w:val="105"/>
          <w:sz w:val="21"/>
        </w:rPr>
        <w:t> </w:t>
      </w:r>
      <w:r>
        <w:rPr>
          <w:i/>
          <w:color w:val="262626"/>
          <w:w w:val="105"/>
          <w:sz w:val="21"/>
        </w:rPr>
        <w:t>Hazardous</w:t>
      </w:r>
      <w:r>
        <w:rPr>
          <w:i/>
          <w:color w:val="262626"/>
          <w:spacing w:val="8"/>
          <w:w w:val="105"/>
          <w:sz w:val="21"/>
        </w:rPr>
        <w:t> </w:t>
      </w:r>
      <w:r>
        <w:rPr>
          <w:i/>
          <w:color w:val="262626"/>
          <w:w w:val="105"/>
          <w:sz w:val="21"/>
        </w:rPr>
        <w:t>Waste</w:t>
      </w:r>
      <w:r>
        <w:rPr>
          <w:i/>
          <w:color w:val="262626"/>
          <w:spacing w:val="-1"/>
          <w:w w:val="105"/>
          <w:sz w:val="21"/>
        </w:rPr>
        <w:t> </w:t>
      </w:r>
      <w:r>
        <w:rPr>
          <w:i/>
          <w:color w:val="262626"/>
          <w:w w:val="105"/>
          <w:sz w:val="21"/>
        </w:rPr>
        <w:t>(Regulation</w:t>
      </w:r>
      <w:r>
        <w:rPr>
          <w:i/>
          <w:color w:val="262626"/>
          <w:spacing w:val="6"/>
          <w:w w:val="105"/>
          <w:sz w:val="21"/>
        </w:rPr>
        <w:t> </w:t>
      </w:r>
      <w:r>
        <w:rPr>
          <w:i/>
          <w:color w:val="262626"/>
          <w:w w:val="105"/>
          <w:sz w:val="21"/>
        </w:rPr>
        <w:t>of</w:t>
      </w:r>
      <w:r>
        <w:rPr>
          <w:i/>
          <w:color w:val="262626"/>
          <w:spacing w:val="-5"/>
          <w:w w:val="105"/>
          <w:sz w:val="21"/>
        </w:rPr>
        <w:t> </w:t>
      </w:r>
      <w:r>
        <w:rPr>
          <w:i/>
          <w:color w:val="262626"/>
          <w:w w:val="105"/>
          <w:sz w:val="21"/>
        </w:rPr>
        <w:t>Exports</w:t>
      </w:r>
      <w:r>
        <w:rPr>
          <w:i/>
          <w:color w:val="262626"/>
          <w:spacing w:val="2"/>
          <w:w w:val="105"/>
          <w:sz w:val="21"/>
        </w:rPr>
        <w:t> </w:t>
      </w:r>
      <w:r>
        <w:rPr>
          <w:i/>
          <w:color w:val="262626"/>
          <w:w w:val="105"/>
          <w:sz w:val="21"/>
        </w:rPr>
        <w:t>and Imports) Act 1989</w:t>
      </w:r>
      <w:r>
        <w:rPr>
          <w:i/>
          <w:color w:val="444446"/>
          <w:w w:val="105"/>
          <w:sz w:val="21"/>
        </w:rPr>
        <w:t>,</w:t>
      </w:r>
      <w:r>
        <w:rPr>
          <w:i/>
          <w:color w:val="444446"/>
          <w:spacing w:val="14"/>
          <w:w w:val="105"/>
          <w:sz w:val="21"/>
        </w:rPr>
        <w:t> </w:t>
      </w:r>
      <w:r>
        <w:rPr>
          <w:color w:val="262626"/>
          <w:w w:val="105"/>
          <w:sz w:val="21"/>
        </w:rPr>
        <w:t>or</w:t>
      </w:r>
    </w:p>
    <w:p>
      <w:pPr>
        <w:pStyle w:val="ListParagraph"/>
        <w:numPr>
          <w:ilvl w:val="0"/>
          <w:numId w:val="1"/>
        </w:numPr>
        <w:tabs>
          <w:tab w:pos="1331" w:val="left" w:leader="none"/>
          <w:tab w:pos="1332" w:val="left" w:leader="none"/>
        </w:tabs>
        <w:spacing w:line="252" w:lineRule="auto" w:before="137" w:after="0"/>
        <w:ind w:left="1326" w:right="111" w:hanging="363"/>
        <w:jc w:val="left"/>
        <w:rPr>
          <w:sz w:val="21"/>
        </w:rPr>
      </w:pPr>
      <w:r>
        <w:rPr>
          <w:color w:val="262626"/>
          <w:w w:val="105"/>
          <w:sz w:val="21"/>
        </w:rPr>
        <w:t>ministerial exemption</w:t>
      </w:r>
      <w:r>
        <w:rPr>
          <w:rFonts w:ascii="Times New Roman" w:hAnsi="Times New Roman"/>
          <w:color w:val="444446"/>
          <w:w w:val="105"/>
          <w:sz w:val="21"/>
          <w:vertAlign w:val="superscript"/>
        </w:rPr>
        <w:t>1</w:t>
      </w:r>
      <w:r>
        <w:rPr>
          <w:rFonts w:ascii="Times New Roman" w:hAnsi="Times New Roman"/>
          <w:color w:val="444446"/>
          <w:w w:val="105"/>
          <w:sz w:val="21"/>
          <w:vertAlign w:val="baseline"/>
        </w:rPr>
        <w:t> </w:t>
      </w:r>
      <w:r>
        <w:rPr>
          <w:color w:val="262626"/>
          <w:w w:val="105"/>
          <w:sz w:val="21"/>
          <w:vertAlign w:val="baseline"/>
        </w:rPr>
        <w:t>is granted and confirmed </w:t>
      </w:r>
      <w:r>
        <w:rPr>
          <w:color w:val="444446"/>
          <w:w w:val="105"/>
          <w:sz w:val="21"/>
          <w:vertAlign w:val="baseline"/>
        </w:rPr>
        <w:t>i</w:t>
      </w:r>
      <w:r>
        <w:rPr>
          <w:color w:val="262626"/>
          <w:w w:val="105"/>
          <w:sz w:val="21"/>
          <w:vertAlign w:val="baseline"/>
        </w:rPr>
        <w:t>n accordance with re</w:t>
      </w:r>
      <w:r>
        <w:rPr>
          <w:color w:val="444446"/>
          <w:w w:val="105"/>
          <w:sz w:val="21"/>
          <w:vertAlign w:val="baseline"/>
        </w:rPr>
        <w:t>l</w:t>
      </w:r>
      <w:r>
        <w:rPr>
          <w:color w:val="262626"/>
          <w:w w:val="105"/>
          <w:sz w:val="21"/>
          <w:vertAlign w:val="baseline"/>
        </w:rPr>
        <w:t>evant Commonwealth of Australia law in respect to workplace health and safety</w:t>
      </w:r>
      <w:r>
        <w:rPr>
          <w:color w:val="60605E"/>
          <w:w w:val="105"/>
          <w:sz w:val="21"/>
          <w:vertAlign w:val="baseline"/>
        </w:rPr>
        <w:t>,</w:t>
      </w:r>
      <w:r>
        <w:rPr>
          <w:color w:val="262626"/>
          <w:w w:val="105"/>
          <w:sz w:val="21"/>
          <w:vertAlign w:val="baseline"/>
        </w:rPr>
        <w:t> </w:t>
      </w:r>
      <w:r>
        <w:rPr>
          <w:color w:val="262626"/>
          <w:w w:val="105"/>
          <w:sz w:val="21"/>
          <w:u w:val="thick" w:color="262626"/>
          <w:vertAlign w:val="baseline"/>
        </w:rPr>
        <w:t>and</w:t>
      </w:r>
      <w:r>
        <w:rPr>
          <w:color w:val="262626"/>
          <w:w w:val="105"/>
          <w:sz w:val="21"/>
          <w:vertAlign w:val="baseline"/>
        </w:rPr>
        <w:t> the goods are for research</w:t>
      </w:r>
      <w:r>
        <w:rPr>
          <w:color w:val="60605E"/>
          <w:w w:val="105"/>
          <w:sz w:val="21"/>
          <w:vertAlign w:val="baseline"/>
        </w:rPr>
        <w:t>, </w:t>
      </w:r>
      <w:r>
        <w:rPr>
          <w:color w:val="262626"/>
          <w:spacing w:val="-4"/>
          <w:w w:val="105"/>
          <w:sz w:val="21"/>
          <w:vertAlign w:val="baseline"/>
        </w:rPr>
        <w:t>analys</w:t>
      </w:r>
      <w:r>
        <w:rPr>
          <w:color w:val="444446"/>
          <w:spacing w:val="-4"/>
          <w:w w:val="105"/>
          <w:sz w:val="21"/>
          <w:vertAlign w:val="baseline"/>
        </w:rPr>
        <w:t>i</w:t>
      </w:r>
      <w:r>
        <w:rPr>
          <w:color w:val="262626"/>
          <w:spacing w:val="-4"/>
          <w:w w:val="105"/>
          <w:sz w:val="21"/>
          <w:vertAlign w:val="baseline"/>
        </w:rPr>
        <w:t>s </w:t>
      </w:r>
      <w:r>
        <w:rPr>
          <w:color w:val="262626"/>
          <w:w w:val="105"/>
          <w:sz w:val="21"/>
          <w:vertAlign w:val="baseline"/>
        </w:rPr>
        <w:t>or display</w:t>
      </w:r>
      <w:r>
        <w:rPr>
          <w:color w:val="444446"/>
          <w:w w:val="105"/>
          <w:sz w:val="21"/>
          <w:vertAlign w:val="baseline"/>
        </w:rPr>
        <w:t>,</w:t>
      </w:r>
      <w:r>
        <w:rPr>
          <w:color w:val="444446"/>
          <w:spacing w:val="2"/>
          <w:w w:val="105"/>
          <w:sz w:val="21"/>
          <w:vertAlign w:val="baseline"/>
        </w:rPr>
        <w:t> </w:t>
      </w:r>
      <w:r>
        <w:rPr>
          <w:color w:val="262626"/>
          <w:w w:val="105"/>
          <w:sz w:val="21"/>
          <w:vertAlign w:val="baseline"/>
        </w:rPr>
        <w:t>or</w:t>
      </w:r>
    </w:p>
    <w:p>
      <w:pPr>
        <w:pStyle w:val="ListParagraph"/>
        <w:numPr>
          <w:ilvl w:val="0"/>
          <w:numId w:val="1"/>
        </w:numPr>
        <w:tabs>
          <w:tab w:pos="1327" w:val="left" w:leader="none"/>
          <w:tab w:pos="1328" w:val="left" w:leader="none"/>
        </w:tabs>
        <w:spacing w:line="240" w:lineRule="auto" w:before="142" w:after="0"/>
        <w:ind w:left="1327" w:right="0" w:hanging="364"/>
        <w:jc w:val="left"/>
        <w:rPr>
          <w:sz w:val="21"/>
        </w:rPr>
      </w:pPr>
      <w:r>
        <w:rPr>
          <w:color w:val="262626"/>
          <w:w w:val="105"/>
          <w:sz w:val="21"/>
        </w:rPr>
        <w:t>the importation is from the Australian Antarctic</w:t>
      </w:r>
      <w:r>
        <w:rPr>
          <w:color w:val="262626"/>
          <w:spacing w:val="29"/>
          <w:w w:val="105"/>
          <w:sz w:val="21"/>
        </w:rPr>
        <w:t> </w:t>
      </w:r>
      <w:r>
        <w:rPr>
          <w:color w:val="262626"/>
          <w:w w:val="105"/>
          <w:sz w:val="21"/>
        </w:rPr>
        <w:t>Territory</w:t>
      </w:r>
    </w:p>
    <w:p>
      <w:pPr>
        <w:pStyle w:val="BodyText"/>
        <w:spacing w:before="129"/>
        <w:ind w:left="607"/>
      </w:pPr>
      <w:r>
        <w:rPr>
          <w:color w:val="262626"/>
          <w:w w:val="105"/>
        </w:rPr>
        <w:t>Where an exemption </w:t>
      </w:r>
      <w:r>
        <w:rPr>
          <w:color w:val="444446"/>
          <w:w w:val="105"/>
        </w:rPr>
        <w:t>i</w:t>
      </w:r>
      <w:r>
        <w:rPr>
          <w:color w:val="262626"/>
          <w:w w:val="105"/>
        </w:rPr>
        <w:t>s granted</w:t>
      </w:r>
      <w:r>
        <w:rPr>
          <w:color w:val="444446"/>
          <w:w w:val="105"/>
        </w:rPr>
        <w:t>, </w:t>
      </w:r>
      <w:r>
        <w:rPr>
          <w:color w:val="262626"/>
          <w:w w:val="105"/>
        </w:rPr>
        <w:t>the valid written exemption must be produced to a Collector at the border</w:t>
      </w:r>
      <w:r>
        <w:rPr>
          <w:color w:val="858585"/>
          <w:w w:val="105"/>
        </w:rPr>
        <w:t>.</w:t>
      </w:r>
    </w:p>
    <w:p>
      <w:pPr>
        <w:pStyle w:val="BodyText"/>
        <w:spacing w:line="252" w:lineRule="auto" w:before="133"/>
        <w:ind w:left="607"/>
      </w:pPr>
      <w:r>
        <w:rPr>
          <w:color w:val="262626"/>
          <w:w w:val="105"/>
        </w:rPr>
        <w:t>For exemption application information contact the Asbestos Safety and Erad</w:t>
      </w:r>
      <w:r>
        <w:rPr>
          <w:color w:val="444446"/>
          <w:w w:val="105"/>
        </w:rPr>
        <w:t>i</w:t>
      </w:r>
      <w:r>
        <w:rPr>
          <w:color w:val="262626"/>
          <w:w w:val="105"/>
        </w:rPr>
        <w:t>cation Agency (ASEA) at email</w:t>
      </w:r>
      <w:r>
        <w:rPr>
          <w:color w:val="444446"/>
          <w:w w:val="105"/>
        </w:rPr>
        <w:t>: </w:t>
      </w:r>
      <w:hyperlink r:id="rId7">
        <w:r>
          <w:rPr>
            <w:color w:val="244275"/>
            <w:w w:val="105"/>
            <w:u w:val="thick" w:color="0A1824"/>
          </w:rPr>
          <w:t>enquiries@asbestossafety</w:t>
        </w:r>
        <w:r>
          <w:rPr>
            <w:color w:val="5B6E8A"/>
            <w:w w:val="105"/>
            <w:u w:val="thick" w:color="0A1824"/>
          </w:rPr>
          <w:t>.</w:t>
        </w:r>
        <w:r>
          <w:rPr>
            <w:color w:val="244275"/>
            <w:w w:val="105"/>
            <w:u w:val="thick" w:color="0A1824"/>
          </w:rPr>
          <w:t>gov.au </w:t>
        </w:r>
        <w:r>
          <w:rPr>
            <w:color w:val="0A1824"/>
            <w:w w:val="105"/>
          </w:rPr>
          <w:t>.</w:t>
        </w:r>
      </w:hyperlink>
    </w:p>
    <w:p>
      <w:pPr>
        <w:pStyle w:val="BodyText"/>
        <w:spacing w:line="247" w:lineRule="auto" w:before="122"/>
        <w:ind w:left="614" w:hanging="10"/>
      </w:pPr>
      <w:r>
        <w:rPr>
          <w:color w:val="262626"/>
          <w:w w:val="105"/>
        </w:rPr>
        <w:t>Industry enquiries regarding ICS entry issues result</w:t>
      </w:r>
      <w:r>
        <w:rPr>
          <w:color w:val="444446"/>
          <w:w w:val="105"/>
        </w:rPr>
        <w:t>i</w:t>
      </w:r>
      <w:r>
        <w:rPr>
          <w:color w:val="262626"/>
          <w:w w:val="105"/>
        </w:rPr>
        <w:t>ng from this new question should be direc</w:t>
      </w:r>
      <w:r>
        <w:rPr>
          <w:color w:val="444446"/>
          <w:w w:val="105"/>
        </w:rPr>
        <w:t>t</w:t>
      </w:r>
      <w:r>
        <w:rPr>
          <w:color w:val="262626"/>
          <w:w w:val="105"/>
        </w:rPr>
        <w:t>ed to Cargo Support at email</w:t>
      </w:r>
      <w:r>
        <w:rPr>
          <w:color w:val="444446"/>
          <w:w w:val="105"/>
        </w:rPr>
        <w:t>: </w:t>
      </w:r>
      <w:hyperlink r:id="rId8">
        <w:r>
          <w:rPr>
            <w:color w:val="244275"/>
            <w:w w:val="105"/>
            <w:u w:val="thick" w:color="444446"/>
          </w:rPr>
          <w:t>cargosupport@border</w:t>
        </w:r>
        <w:r>
          <w:rPr>
            <w:color w:val="6B809C"/>
            <w:w w:val="105"/>
            <w:u w:val="thick" w:color="444446"/>
          </w:rPr>
          <w:t>.</w:t>
        </w:r>
        <w:r>
          <w:rPr>
            <w:color w:val="244275"/>
            <w:w w:val="105"/>
            <w:u w:val="thick" w:color="444446"/>
          </w:rPr>
          <w:t>gov.au</w:t>
        </w:r>
        <w:r>
          <w:rPr>
            <w:color w:val="444446"/>
            <w:w w:val="105"/>
          </w:rPr>
          <w:t>.</w:t>
        </w:r>
      </w:hyperlink>
    </w:p>
    <w:p>
      <w:pPr>
        <w:pStyle w:val="BodyText"/>
        <w:spacing w:before="4"/>
        <w:rPr>
          <w:sz w:val="22"/>
        </w:rPr>
      </w:pPr>
      <w:r>
        <w:rPr/>
        <w:pict>
          <v:group style="position:absolute;margin-left:13.46259pt;margin-top:14.807672pt;width:201.95pt;height:137.3pt;mso-position-horizontal-relative:page;mso-position-vertical-relative:paragraph;z-index:-15728640;mso-wrap-distance-left:0;mso-wrap-distance-right:0" coordorigin="269,296" coordsize="4039,2746">
            <v:shape style="position:absolute;left:269;top:296;width:4039;height:2711" type="#_x0000_t75" stroked="false">
              <v:imagedata r:id="rId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69;top:296;width:4039;height:274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133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62626"/>
                        <w:w w:val="105"/>
                        <w:sz w:val="21"/>
                      </w:rPr>
                      <w:t>can</w:t>
                    </w:r>
                  </w:p>
                  <w:p>
                    <w:pPr>
                      <w:spacing w:line="256" w:lineRule="auto" w:before="8"/>
                      <w:ind w:left="1265" w:right="450" w:firstLine="40"/>
                      <w:jc w:val="left"/>
                      <w:rPr>
                        <w:sz w:val="21"/>
                      </w:rPr>
                    </w:pPr>
                    <w:r>
                      <w:rPr>
                        <w:color w:val="262626"/>
                        <w:w w:val="105"/>
                        <w:sz w:val="21"/>
                      </w:rPr>
                      <w:t>ssistant Secretary ranch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94"/>
        <w:ind w:left="154"/>
      </w:pPr>
      <w:r>
        <w:rPr>
          <w:color w:val="444446"/>
          <w:w w:val="105"/>
        </w:rPr>
        <w:t>) "t" </w:t>
      </w:r>
      <w:r>
        <w:rPr>
          <w:color w:val="262626"/>
          <w:w w:val="105"/>
        </w:rPr>
        <w:t>July 2015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36.541321pt;margin-top:17.419704pt;width:145.25pt;height:.1pt;mso-position-horizontal-relative:page;mso-position-vertical-relative:paragraph;z-index:-15728128;mso-wrap-distance-left:0;mso-wrap-distance-right:0" coordorigin="731,348" coordsize="2905,0" path="m731,348l3635,348e" filled="false" stroked="true" strokeweight=".480593pt" strokecolor="#000000">
            <v:path arrowok="t"/>
            <v:stroke dashstyle="solid"/>
            <w10:wrap type="topAndBottom"/>
          </v:shape>
        </w:pict>
      </w:r>
    </w:p>
    <w:p>
      <w:pPr>
        <w:spacing w:before="85"/>
        <w:ind w:left="598" w:right="0" w:firstLine="0"/>
        <w:jc w:val="left"/>
        <w:rPr>
          <w:i/>
          <w:sz w:val="19"/>
        </w:rPr>
      </w:pPr>
      <w:r>
        <w:rPr>
          <w:rFonts w:ascii="Times New Roman"/>
          <w:color w:val="444446"/>
          <w:w w:val="105"/>
          <w:sz w:val="19"/>
          <w:vertAlign w:val="superscript"/>
        </w:rPr>
        <w:t>1</w:t>
      </w:r>
      <w:r>
        <w:rPr>
          <w:rFonts w:ascii="Times New Roman"/>
          <w:color w:val="444446"/>
          <w:w w:val="105"/>
          <w:sz w:val="19"/>
          <w:vertAlign w:val="baseline"/>
        </w:rPr>
        <w:t> </w:t>
      </w:r>
      <w:r>
        <w:rPr>
          <w:i/>
          <w:color w:val="262626"/>
          <w:w w:val="105"/>
          <w:sz w:val="19"/>
          <w:vertAlign w:val="baseline"/>
        </w:rPr>
        <w:t>By the Federal Minister for Employment</w:t>
      </w:r>
    </w:p>
    <w:sectPr>
      <w:type w:val="continuous"/>
      <w:pgSz w:w="11900" w:h="16840"/>
      <w:pgMar w:top="640" w:bottom="280" w:left="1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328" w:hanging="364"/>
      </w:pPr>
      <w:rPr>
        <w:rFonts w:hint="default" w:ascii="Arial" w:hAnsi="Arial" w:eastAsia="Arial" w:cs="Arial"/>
        <w:color w:val="262626"/>
        <w:w w:val="104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4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8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2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6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4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8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2" w:hanging="3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62" w:right="210"/>
      <w:jc w:val="center"/>
      <w:outlineLvl w:val="1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7"/>
      <w:ind w:left="1327" w:hanging="36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enquiries@asbestossafety.gov.au" TargetMode="External"/><Relationship Id="rId8" Type="http://schemas.openxmlformats.org/officeDocument/2006/relationships/hyperlink" Target="mailto:cargosupport@border.gov.au" TargetMode="External"/><Relationship Id="rId9" Type="http://schemas.openxmlformats.org/officeDocument/2006/relationships/image" Target="media/image3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2020-12-09T22:57:23Z</dcterms:created>
  <dcterms:modified xsi:type="dcterms:W3CDTF">2020-12-09T22:57:23Z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2015-07-28T00:00:00Z</vt:filetime>
  </property>
  <property fmtid="{D5CDD505-2E9C-101B-9397-08002B2CF9AE}" pid="3" name="Creator">
    <vt:lpwstr>OmniPage CSDK 18</vt:lpwstr>
  </property>
  <property fmtid="{D5CDD505-2E9C-101B-9397-08002B2CF9AE}" pid="4" name="LastSaved">
    <vt:filetime>2020-12-09T00:00:00Z</vt:filetime>
  </property>
</Properties>
</file>