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42"/>
        <w:ind w:left="1238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-1170560</wp:posOffset>
            </wp:positionV>
            <wp:extent cx="7560564" cy="1137183"/>
            <wp:effectExtent l="0" t="0" r="0" b="0"/>
            <wp:wrapNone/>
            <wp:docPr id="1" name="image1.jpeg" descr="Department of Immigration and Border Protection brand mark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13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spacing w:before="201"/>
        <w:ind w:left="2690" w:right="2239" w:firstLine="0"/>
        <w:jc w:val="center"/>
        <w:rPr>
          <w:b/>
          <w:sz w:val="28"/>
        </w:rPr>
      </w:pPr>
      <w:r>
        <w:rPr/>
        <w:pict>
          <v:rect style="position:absolute;margin-left:55.919998pt;margin-top:30.261812pt;width:506.04pt;height:.48pt;mso-position-horizontal-relative:page;mso-position-vertical-relative:paragraph;z-index:-15728640;mso-wrap-distance-left:0;mso-wrap-distance-right:0" filled="true" fillcolor="#4f81bd" stroked="false">
            <v:fill type="solid"/>
            <w10:wrap type="topAndBottom"/>
          </v:rect>
        </w:pict>
      </w:r>
      <w:r>
        <w:rPr>
          <w:b/>
          <w:sz w:val="28"/>
        </w:rPr>
        <w:t>No. 2015/37</w:t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1"/>
        <w:ind w:right="2690"/>
      </w:pPr>
      <w:bookmarkStart w:name="Changes to licence charges from 1 Januar" w:id="1"/>
      <w:bookmarkEnd w:id="1"/>
      <w:r>
        <w:rPr>
          <w:b w:val="0"/>
        </w:rPr>
      </w:r>
      <w:r>
        <w:rPr/>
        <w:t>Changes to licence charges from 1 January 2016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42" w:lineRule="auto" w:before="1"/>
        <w:ind w:left="720" w:right="721" w:hanging="1"/>
      </w:pPr>
      <w:r>
        <w:rPr/>
        <w:t>From 1 January 2016, charges associated with the application for and renewal of licences for customs brokers, depots and warehouses, will change.</w:t>
      </w:r>
    </w:p>
    <w:p>
      <w:pPr>
        <w:pStyle w:val="BodyText"/>
        <w:spacing w:line="242" w:lineRule="auto" w:before="75"/>
        <w:ind w:left="720" w:right="719"/>
      </w:pPr>
      <w:r>
        <w:rPr/>
        <w:t>These changes were announced by the Government as part of the 2015-16 Commonwealth Budget following the </w:t>
      </w:r>
      <w:hyperlink r:id="rId6">
        <w:r>
          <w:rPr>
            <w:color w:val="0000FF"/>
            <w:u w:val="single" w:color="0000FF"/>
          </w:rPr>
          <w:t>Joint</w:t>
        </w:r>
      </w:hyperlink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Review of Border Fees, Charges and Taxes</w:t>
        </w:r>
        <w:r>
          <w:rPr/>
          <w:t>, </w:t>
        </w:r>
      </w:hyperlink>
      <w:r>
        <w:rPr/>
        <w:t>which involved significant engagement and consultation with industry.</w:t>
      </w:r>
    </w:p>
    <w:p>
      <w:pPr>
        <w:pStyle w:val="BodyText"/>
        <w:spacing w:before="78"/>
        <w:ind w:left="720"/>
      </w:pPr>
      <w:r>
        <w:rPr/>
        <w:t>The changes to take effect from 1 January 2016 are: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91" w:after="0"/>
        <w:ind w:left="1439" w:right="0" w:hanging="361"/>
        <w:jc w:val="left"/>
        <w:rPr>
          <w:sz w:val="20"/>
        </w:rPr>
      </w:pPr>
      <w:r>
        <w:rPr>
          <w:sz w:val="20"/>
        </w:rPr>
        <w:t>introduction of a licence application charge for customs broker and warehouse</w:t>
      </w:r>
      <w:r>
        <w:rPr>
          <w:spacing w:val="-7"/>
          <w:sz w:val="20"/>
        </w:rPr>
        <w:t> </w:t>
      </w:r>
      <w:r>
        <w:rPr>
          <w:sz w:val="20"/>
        </w:rPr>
        <w:t>licences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95" w:after="0"/>
        <w:ind w:left="1439" w:right="0" w:hanging="361"/>
        <w:jc w:val="left"/>
        <w:rPr>
          <w:sz w:val="20"/>
        </w:rPr>
      </w:pPr>
      <w:r>
        <w:rPr>
          <w:sz w:val="20"/>
        </w:rPr>
        <w:t>reduction in warehouse licence grant</w:t>
      </w:r>
      <w:r>
        <w:rPr>
          <w:spacing w:val="-1"/>
          <w:sz w:val="20"/>
        </w:rPr>
        <w:t> </w:t>
      </w:r>
      <w:r>
        <w:rPr>
          <w:sz w:val="20"/>
        </w:rPr>
        <w:t>charges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94" w:after="0"/>
        <w:ind w:left="1439" w:right="0" w:hanging="361"/>
        <w:jc w:val="left"/>
        <w:rPr>
          <w:sz w:val="20"/>
        </w:rPr>
      </w:pPr>
      <w:r>
        <w:rPr>
          <w:sz w:val="20"/>
        </w:rPr>
        <w:t>introduction of a variation charge for warehouse</w:t>
      </w:r>
      <w:r>
        <w:rPr>
          <w:spacing w:val="-1"/>
          <w:sz w:val="20"/>
        </w:rPr>
        <w:t> </w:t>
      </w:r>
      <w:r>
        <w:rPr>
          <w:sz w:val="20"/>
        </w:rPr>
        <w:t>licences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91" w:after="0"/>
        <w:ind w:left="1439" w:right="0" w:hanging="361"/>
        <w:jc w:val="left"/>
        <w:rPr>
          <w:sz w:val="20"/>
        </w:rPr>
      </w:pPr>
      <w:r>
        <w:rPr>
          <w:sz w:val="20"/>
        </w:rPr>
        <w:t>amendments to the grant and renewal charges for customs broker</w:t>
      </w:r>
      <w:r>
        <w:rPr>
          <w:spacing w:val="-7"/>
          <w:sz w:val="20"/>
        </w:rPr>
        <w:t> </w:t>
      </w:r>
      <w:r>
        <w:rPr>
          <w:sz w:val="20"/>
        </w:rPr>
        <w:t>licences.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719"/>
      </w:pPr>
      <w:r>
        <w:rPr/>
        <w:t>Changes to licensing charges are highlighted in the following table.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3117"/>
        <w:gridCol w:w="3062"/>
      </w:tblGrid>
      <w:tr>
        <w:trPr>
          <w:trHeight w:val="539" w:hRule="atLeast"/>
        </w:trPr>
        <w:tc>
          <w:tcPr>
            <w:tcW w:w="4502" w:type="dxa"/>
            <w:shd w:val="clear" w:color="auto" w:fill="4F81BD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Charge Item</w:t>
            </w:r>
          </w:p>
        </w:tc>
        <w:tc>
          <w:tcPr>
            <w:tcW w:w="3117" w:type="dxa"/>
            <w:shd w:val="clear" w:color="auto" w:fill="4F81BD"/>
          </w:tcPr>
          <w:p>
            <w:pPr>
              <w:pStyle w:val="TableParagraph"/>
              <w:spacing w:before="35"/>
              <w:ind w:left="564" w:right="55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Current Charge</w:t>
            </w:r>
          </w:p>
        </w:tc>
        <w:tc>
          <w:tcPr>
            <w:tcW w:w="3062" w:type="dxa"/>
            <w:shd w:val="clear" w:color="auto" w:fill="4F81BD"/>
          </w:tcPr>
          <w:p>
            <w:pPr>
              <w:pStyle w:val="TableParagraph"/>
              <w:spacing w:before="35"/>
              <w:ind w:left="468" w:right="397" w:firstLine="48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New Charge (From 1 January 2016)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application</w:t>
            </w:r>
          </w:p>
        </w:tc>
        <w:tc>
          <w:tcPr>
            <w:tcW w:w="3117" w:type="dxa"/>
          </w:tcPr>
          <w:p>
            <w:pPr>
              <w:pStyle w:val="TableParagraph"/>
              <w:ind w:left="563" w:right="557"/>
              <w:rPr>
                <w:sz w:val="20"/>
              </w:rPr>
            </w:pPr>
            <w:r>
              <w:rPr>
                <w:sz w:val="20"/>
              </w:rPr>
              <w:t>$3000</w:t>
            </w:r>
          </w:p>
        </w:tc>
        <w:tc>
          <w:tcPr>
            <w:tcW w:w="3062" w:type="dxa"/>
          </w:tcPr>
          <w:p>
            <w:pPr>
              <w:pStyle w:val="TableParagraph"/>
              <w:ind w:left="535" w:right="530"/>
              <w:rPr>
                <w:sz w:val="20"/>
              </w:rPr>
            </w:pPr>
            <w:r>
              <w:rPr>
                <w:sz w:val="20"/>
              </w:rPr>
              <w:t>$3000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grant</w:t>
            </w:r>
          </w:p>
        </w:tc>
        <w:tc>
          <w:tcPr>
            <w:tcW w:w="3117" w:type="dxa"/>
          </w:tcPr>
          <w:p>
            <w:pPr>
              <w:pStyle w:val="TableParagraph"/>
              <w:ind w:left="563" w:right="557"/>
              <w:rPr>
                <w:sz w:val="20"/>
              </w:rPr>
            </w:pPr>
            <w:r>
              <w:rPr>
                <w:sz w:val="20"/>
              </w:rPr>
              <w:t>$4000</w:t>
            </w:r>
          </w:p>
        </w:tc>
        <w:tc>
          <w:tcPr>
            <w:tcW w:w="3062" w:type="dxa"/>
          </w:tcPr>
          <w:p>
            <w:pPr>
              <w:pStyle w:val="TableParagraph"/>
              <w:ind w:left="535" w:right="530"/>
              <w:rPr>
                <w:sz w:val="20"/>
              </w:rPr>
            </w:pPr>
            <w:r>
              <w:rPr>
                <w:sz w:val="20"/>
              </w:rPr>
              <w:t>$4000</w:t>
            </w:r>
          </w:p>
        </w:tc>
      </w:tr>
      <w:tr>
        <w:trPr>
          <w:trHeight w:val="541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1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renewal</w:t>
            </w:r>
          </w:p>
        </w:tc>
        <w:tc>
          <w:tcPr>
            <w:tcW w:w="3117" w:type="dxa"/>
          </w:tcPr>
          <w:p>
            <w:pPr>
              <w:pStyle w:val="TableParagraph"/>
              <w:spacing w:line="229" w:lineRule="exact" w:before="40"/>
              <w:ind w:left="552"/>
              <w:jc w:val="left"/>
              <w:rPr>
                <w:sz w:val="20"/>
              </w:rPr>
            </w:pPr>
            <w:r>
              <w:rPr>
                <w:sz w:val="20"/>
              </w:rPr>
              <w:t>$4000 (annual) 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large</w:t>
            </w:r>
          </w:p>
          <w:p>
            <w:pPr>
              <w:pStyle w:val="TableParagraph"/>
              <w:spacing w:line="229" w:lineRule="exact" w:before="0"/>
              <w:ind w:left="564"/>
              <w:jc w:val="left"/>
              <w:rPr>
                <w:sz w:val="20"/>
              </w:rPr>
            </w:pPr>
            <w:r>
              <w:rPr>
                <w:sz w:val="20"/>
              </w:rPr>
              <w:t>$1500 (annual) 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small</w:t>
            </w:r>
          </w:p>
        </w:tc>
        <w:tc>
          <w:tcPr>
            <w:tcW w:w="3062" w:type="dxa"/>
          </w:tcPr>
          <w:p>
            <w:pPr>
              <w:pStyle w:val="TableParagraph"/>
              <w:spacing w:line="229" w:lineRule="exact" w:before="40"/>
              <w:ind w:left="523"/>
              <w:jc w:val="left"/>
              <w:rPr>
                <w:sz w:val="20"/>
              </w:rPr>
            </w:pPr>
            <w:r>
              <w:rPr>
                <w:sz w:val="20"/>
              </w:rPr>
              <w:t>$4000 (annual) 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large</w:t>
            </w:r>
          </w:p>
          <w:p>
            <w:pPr>
              <w:pStyle w:val="TableParagraph"/>
              <w:spacing w:line="229" w:lineRule="exact" w:before="0"/>
              <w:ind w:left="535"/>
              <w:jc w:val="left"/>
              <w:rPr>
                <w:sz w:val="20"/>
              </w:rPr>
            </w:pPr>
            <w:r>
              <w:rPr>
                <w:sz w:val="20"/>
              </w:rPr>
              <w:t>$1500 (annual) 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small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variation</w:t>
            </w:r>
          </w:p>
        </w:tc>
        <w:tc>
          <w:tcPr>
            <w:tcW w:w="3117" w:type="dxa"/>
          </w:tcPr>
          <w:p>
            <w:pPr>
              <w:pStyle w:val="TableParagraph"/>
              <w:ind w:left="564" w:right="556"/>
              <w:rPr>
                <w:sz w:val="20"/>
              </w:rPr>
            </w:pPr>
            <w:r>
              <w:rPr>
                <w:sz w:val="20"/>
              </w:rPr>
              <w:t>$300</w:t>
            </w:r>
          </w:p>
        </w:tc>
        <w:tc>
          <w:tcPr>
            <w:tcW w:w="3062" w:type="dxa"/>
          </w:tcPr>
          <w:p>
            <w:pPr>
              <w:pStyle w:val="TableParagraph"/>
              <w:ind w:left="535" w:right="528"/>
              <w:rPr>
                <w:sz w:val="20"/>
              </w:rPr>
            </w:pPr>
            <w:r>
              <w:rPr>
                <w:sz w:val="20"/>
              </w:rPr>
              <w:t>$300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Warehouse licence application</w:t>
            </w:r>
          </w:p>
        </w:tc>
        <w:tc>
          <w:tcPr>
            <w:tcW w:w="3117" w:type="dxa"/>
          </w:tcPr>
          <w:p>
            <w:pPr>
              <w:pStyle w:val="TableParagraph"/>
              <w:ind w:left="564" w:right="556"/>
              <w:rPr>
                <w:sz w:val="20"/>
              </w:rPr>
            </w:pPr>
            <w:r>
              <w:rPr>
                <w:sz w:val="20"/>
              </w:rPr>
              <w:t>$0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ind w:left="535" w:right="530"/>
              <w:rPr>
                <w:sz w:val="20"/>
              </w:rPr>
            </w:pPr>
            <w:r>
              <w:rPr>
                <w:sz w:val="20"/>
              </w:rPr>
              <w:t>$3000</w:t>
            </w:r>
          </w:p>
        </w:tc>
      </w:tr>
      <w:tr>
        <w:trPr>
          <w:trHeight w:val="311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Warehouse licence grant</w:t>
            </w:r>
          </w:p>
        </w:tc>
        <w:tc>
          <w:tcPr>
            <w:tcW w:w="3117" w:type="dxa"/>
          </w:tcPr>
          <w:p>
            <w:pPr>
              <w:pStyle w:val="TableParagraph"/>
              <w:ind w:left="563" w:right="557"/>
              <w:rPr>
                <w:sz w:val="20"/>
              </w:rPr>
            </w:pPr>
            <w:r>
              <w:rPr>
                <w:sz w:val="20"/>
              </w:rPr>
              <w:t>$7000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ind w:left="535" w:right="527"/>
              <w:rPr>
                <w:i/>
                <w:sz w:val="10"/>
              </w:rPr>
            </w:pPr>
            <w:r>
              <w:rPr>
                <w:sz w:val="20"/>
              </w:rPr>
              <w:t>$4000</w:t>
            </w:r>
            <w:r>
              <w:rPr>
                <w:i/>
                <w:position w:val="8"/>
                <w:sz w:val="10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Warehouse licence renewal</w:t>
            </w:r>
          </w:p>
        </w:tc>
        <w:tc>
          <w:tcPr>
            <w:tcW w:w="3117" w:type="dxa"/>
          </w:tcPr>
          <w:p>
            <w:pPr>
              <w:pStyle w:val="TableParagraph"/>
              <w:ind w:left="563" w:right="557"/>
              <w:rPr>
                <w:sz w:val="20"/>
              </w:rPr>
            </w:pPr>
            <w:r>
              <w:rPr>
                <w:sz w:val="20"/>
              </w:rPr>
              <w:t>$4000</w:t>
            </w:r>
          </w:p>
        </w:tc>
        <w:tc>
          <w:tcPr>
            <w:tcW w:w="3062" w:type="dxa"/>
          </w:tcPr>
          <w:p>
            <w:pPr>
              <w:pStyle w:val="TableParagraph"/>
              <w:ind w:left="535" w:right="530"/>
              <w:rPr>
                <w:sz w:val="20"/>
              </w:rPr>
            </w:pPr>
            <w:r>
              <w:rPr>
                <w:sz w:val="20"/>
              </w:rPr>
              <w:t>$4000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Warehouse licence variation</w:t>
            </w:r>
          </w:p>
        </w:tc>
        <w:tc>
          <w:tcPr>
            <w:tcW w:w="3117" w:type="dxa"/>
          </w:tcPr>
          <w:p>
            <w:pPr>
              <w:pStyle w:val="TableParagraph"/>
              <w:ind w:left="564" w:right="556"/>
              <w:rPr>
                <w:sz w:val="20"/>
              </w:rPr>
            </w:pPr>
            <w:r>
              <w:rPr>
                <w:sz w:val="20"/>
              </w:rPr>
              <w:t>$0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ind w:left="535" w:right="528"/>
              <w:rPr>
                <w:sz w:val="20"/>
              </w:rPr>
            </w:pPr>
            <w:r>
              <w:rPr>
                <w:sz w:val="20"/>
              </w:rPr>
              <w:t>$300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‘Nominee’ broker’s licence application</w:t>
            </w:r>
          </w:p>
        </w:tc>
        <w:tc>
          <w:tcPr>
            <w:tcW w:w="3117" w:type="dxa"/>
          </w:tcPr>
          <w:p>
            <w:pPr>
              <w:pStyle w:val="TableParagraph"/>
              <w:ind w:left="564" w:right="556"/>
              <w:rPr>
                <w:sz w:val="20"/>
              </w:rPr>
            </w:pPr>
            <w:r>
              <w:rPr>
                <w:sz w:val="20"/>
              </w:rPr>
              <w:t>$0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ind w:left="535" w:right="528"/>
              <w:rPr>
                <w:sz w:val="20"/>
              </w:rPr>
            </w:pPr>
            <w:r>
              <w:rPr>
                <w:sz w:val="20"/>
              </w:rPr>
              <w:t>$130</w:t>
            </w:r>
          </w:p>
        </w:tc>
      </w:tr>
      <w:tr>
        <w:trPr>
          <w:trHeight w:val="541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‘Sole trader’ or ‘Corporate’ broker’s licence application</w:t>
            </w:r>
          </w:p>
        </w:tc>
        <w:tc>
          <w:tcPr>
            <w:tcW w:w="3117" w:type="dxa"/>
          </w:tcPr>
          <w:p>
            <w:pPr>
              <w:pStyle w:val="TableParagraph"/>
              <w:spacing w:before="155"/>
              <w:ind w:left="564" w:right="556"/>
              <w:rPr>
                <w:sz w:val="20"/>
              </w:rPr>
            </w:pPr>
            <w:r>
              <w:rPr>
                <w:sz w:val="20"/>
              </w:rPr>
              <w:t>$0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spacing w:before="155"/>
              <w:ind w:left="535" w:right="530"/>
              <w:rPr>
                <w:sz w:val="20"/>
              </w:rPr>
            </w:pPr>
            <w:r>
              <w:rPr>
                <w:sz w:val="20"/>
              </w:rPr>
              <w:t>$1300</w:t>
            </w:r>
          </w:p>
        </w:tc>
      </w:tr>
      <w:tr>
        <w:trPr>
          <w:trHeight w:val="30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‘Nominee’ broker’s licence grant or renewal</w:t>
            </w:r>
          </w:p>
        </w:tc>
        <w:tc>
          <w:tcPr>
            <w:tcW w:w="3117" w:type="dxa"/>
          </w:tcPr>
          <w:p>
            <w:pPr>
              <w:pStyle w:val="TableParagraph"/>
              <w:ind w:left="564" w:right="557"/>
              <w:rPr>
                <w:sz w:val="20"/>
              </w:rPr>
            </w:pPr>
            <w:r>
              <w:rPr>
                <w:sz w:val="20"/>
              </w:rPr>
              <w:t>$120 (every 3 years)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ind w:left="535" w:right="529"/>
              <w:rPr>
                <w:sz w:val="20"/>
              </w:rPr>
            </w:pPr>
            <w:r>
              <w:rPr>
                <w:sz w:val="20"/>
              </w:rPr>
              <w:t>$240 (every 3 years)</w:t>
            </w:r>
          </w:p>
        </w:tc>
      </w:tr>
      <w:tr>
        <w:trPr>
          <w:trHeight w:val="539" w:hRule="atLeast"/>
        </w:trPr>
        <w:tc>
          <w:tcPr>
            <w:tcW w:w="4502" w:type="dxa"/>
            <w:shd w:val="clear" w:color="auto" w:fill="DADADA"/>
          </w:tcPr>
          <w:p>
            <w:pPr>
              <w:pStyle w:val="TableParagraph"/>
              <w:spacing w:before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‘Sole trader’ or ‘Corporate’ broker’s licence grant or renewal</w:t>
            </w:r>
          </w:p>
        </w:tc>
        <w:tc>
          <w:tcPr>
            <w:tcW w:w="3117" w:type="dxa"/>
          </w:tcPr>
          <w:p>
            <w:pPr>
              <w:pStyle w:val="TableParagraph"/>
              <w:spacing w:before="153"/>
              <w:ind w:left="564" w:right="557"/>
              <w:rPr>
                <w:sz w:val="20"/>
              </w:rPr>
            </w:pPr>
            <w:r>
              <w:rPr>
                <w:sz w:val="20"/>
              </w:rPr>
              <w:t>$1200 (every 3 years)</w:t>
            </w:r>
          </w:p>
        </w:tc>
        <w:tc>
          <w:tcPr>
            <w:tcW w:w="3062" w:type="dxa"/>
            <w:shd w:val="clear" w:color="auto" w:fill="C6D9F1"/>
          </w:tcPr>
          <w:p>
            <w:pPr>
              <w:pStyle w:val="TableParagraph"/>
              <w:spacing w:before="153"/>
              <w:ind w:left="535" w:right="530"/>
              <w:rPr>
                <w:sz w:val="20"/>
              </w:rPr>
            </w:pPr>
            <w:r>
              <w:rPr>
                <w:sz w:val="20"/>
              </w:rPr>
              <w:t>$2400 (every 3 years)</w:t>
            </w:r>
          </w:p>
        </w:tc>
      </w:tr>
    </w:tbl>
    <w:p>
      <w:pPr>
        <w:spacing w:before="37"/>
        <w:ind w:left="720" w:right="0" w:firstLine="0"/>
        <w:jc w:val="left"/>
        <w:rPr>
          <w:i/>
          <w:sz w:val="16"/>
        </w:rPr>
      </w:pPr>
      <w:r>
        <w:rPr>
          <w:i/>
          <w:sz w:val="16"/>
          <w:vertAlign w:val="superscript"/>
        </w:rPr>
        <w:t>1</w:t>
      </w:r>
      <w:r>
        <w:rPr>
          <w:i/>
          <w:sz w:val="16"/>
          <w:vertAlign w:val="baseline"/>
        </w:rPr>
        <w:t> the commensurate reduction in warehouse licence grant charges, with introduction of the warehouse licence application charge.</w:t>
      </w:r>
    </w:p>
    <w:p>
      <w:pPr>
        <w:pStyle w:val="BodyText"/>
        <w:spacing w:before="83"/>
        <w:ind w:left="720"/>
      </w:pPr>
      <w:r>
        <w:rPr/>
        <w:t>For information about licensing for customs brokers, depots and warehouses visit our website at </w:t>
      </w:r>
      <w:hyperlink r:id="rId7">
        <w:r>
          <w:rPr>
            <w:color w:val="0000FF"/>
            <w:u w:val="single" w:color="0000FF"/>
          </w:rPr>
          <w:t>Licensing</w:t>
        </w:r>
        <w:r>
          <w:rPr/>
          <w:t>.</w:t>
        </w:r>
      </w:hyperlink>
    </w:p>
    <w:p>
      <w:pPr>
        <w:pStyle w:val="BodyText"/>
        <w:spacing w:line="242" w:lineRule="auto" w:before="77"/>
        <w:ind w:left="720" w:right="1130"/>
      </w:pPr>
      <w:r>
        <w:rPr/>
        <w:t>To find out more about licensing for warehouses storing excise equivalent goods, with the exception of providores catering bonds and duty free stores, visit the </w:t>
      </w:r>
      <w:hyperlink r:id="rId8">
        <w:r>
          <w:rPr>
            <w:color w:val="0000FF"/>
            <w:u w:val="single" w:color="0000FF"/>
          </w:rPr>
          <w:t>Australian Taxation Office</w:t>
        </w:r>
        <w:r>
          <w:rPr>
            <w:color w:val="0000FF"/>
          </w:rPr>
          <w:t> </w:t>
        </w:r>
      </w:hyperlink>
      <w:r>
        <w:rPr/>
        <w:t>website.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93"/>
        <w:ind w:left="720" w:right="9636"/>
      </w:pPr>
      <w:r>
        <w:rPr/>
        <w:t>Suzie Nermutova Director</w:t>
      </w:r>
    </w:p>
    <w:p>
      <w:pPr>
        <w:pStyle w:val="BodyText"/>
        <w:spacing w:before="1"/>
        <w:ind w:left="720" w:right="7813"/>
      </w:pPr>
      <w:r>
        <w:rPr/>
        <w:t>Ports Policy Section, Traveller Branch CANBERRA ACT</w:t>
      </w:r>
    </w:p>
    <w:p>
      <w:pPr>
        <w:pStyle w:val="BodyText"/>
        <w:spacing w:line="229" w:lineRule="exact"/>
        <w:ind w:left="720"/>
      </w:pPr>
      <w:r>
        <w:rPr/>
        <w:t>2 December</w:t>
      </w:r>
      <w:r>
        <w:rPr>
          <w:spacing w:val="-11"/>
        </w:rPr>
        <w:t> </w:t>
      </w:r>
      <w:r>
        <w:rPr/>
        <w:t>2015</w:t>
      </w:r>
    </w:p>
    <w:sectPr>
      <w:type w:val="continuous"/>
      <w:pgSz w:w="11910" w:h="16840"/>
      <w:pgMar w:top="5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39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33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579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26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67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9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13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690"/>
      <w:jc w:val="center"/>
      <w:outlineLvl w:val="1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439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07"/>
      <w:jc w:val="center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border.gov.au/about/access-accountability/plans-policies-charters/plans/joint-review-of-border-fees-charges-and-taxes" TargetMode="External"/><Relationship Id="rId7" Type="http://schemas.openxmlformats.org/officeDocument/2006/relationships/hyperlink" Target="http://www.border.gov.au/Busi/Lice" TargetMode="External"/><Relationship Id="rId8" Type="http://schemas.openxmlformats.org/officeDocument/2006/relationships/hyperlink" Target="https://www.ato.gov.au/Business/Excise-and-excise-equivalent-goods/Excise-equivalent-goods-(imports)/Customs-warehouse-licences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licence charges; customs broker, warehouse, depot licences</cp:keywords>
  <dc:title>ACN 2015-37 DIBP notice - changes to licence charges from 1 Jan 2016</dc:title>
  <dcterms:created xsi:type="dcterms:W3CDTF">2020-12-09T22:57:44Z</dcterms:created>
  <dcterms:modified xsi:type="dcterms:W3CDTF">2020-12-09T22:57:44Z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2020-12-09T00:00:00Z</vt:filetime>
  </property>
</Properties>
</file>