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3"/>
        </w:rPr>
      </w:pPr>
      <w:r>
        <w:rPr/>
        <w:pict>
          <v:group style="position:absolute;margin-left:30.771641pt;margin-top:24.990829pt;width:57.7pt;height:43.3pt;mso-position-horizontal-relative:page;mso-position-vertical-relative:page;z-index:-15767552" coordorigin="615,500" coordsize="1154,866">
            <v:shape style="position:absolute;left:615;top:499;width:1154;height:86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53;top:834;width:133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11"/>
                      </w:rPr>
                    </w:pPr>
                    <w:r>
                      <w:rPr>
                        <w:rFonts w:ascii="Times New Roman" w:hAnsi="Times New Roman"/>
                        <w:b/>
                        <w:color w:val="909090"/>
                        <w:w w:val="85"/>
                        <w:sz w:val="11"/>
                      </w:rPr>
                      <w:t>•c1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767040" from="13.462592pt,107.893082pt" to="583.699535pt,107.893082pt" stroked="true" strokeweight="7.929781pt" strokecolor="#000000">
            <v:stroke dashstyle="solid"/>
            <w10:wrap type="none"/>
          </v:line>
        </w:pict>
      </w:r>
    </w:p>
    <w:p>
      <w:pPr>
        <w:spacing w:before="92"/>
        <w:ind w:left="943" w:right="0" w:firstLine="0"/>
        <w:jc w:val="left"/>
        <w:rPr>
          <w:rFonts w:ascii="Times New Roman"/>
          <w:b/>
          <w:sz w:val="20"/>
        </w:rPr>
      </w:pPr>
      <w:r>
        <w:rPr/>
        <w:pict>
          <v:shape style="position:absolute;margin-left:92.314919pt;margin-top:19.462765pt;width:124.05pt;height:.1pt;mso-position-horizontal-relative:page;mso-position-vertical-relative:paragraph;z-index:-15728640;mso-wrap-distance-left:0;mso-wrap-distance-right:0" coordorigin="1846,389" coordsize="2481,0" path="m1846,389l4327,389e" filled="false" stroked="true" strokeweight=".720889pt" strokecolor="#000000">
            <v:path arrowok="t"/>
            <v:stroke dashstyle="solid"/>
            <w10:wrap type="topAndBottom"/>
          </v:shape>
        </w:pict>
      </w:r>
      <w:bookmarkStart w:name="Page 1" w:id="1"/>
      <w:bookmarkEnd w:id="1"/>
      <w:r>
        <w:rPr/>
      </w:r>
      <w:r>
        <w:rPr>
          <w:rFonts w:ascii="Times New Roman"/>
          <w:b/>
          <w:color w:val="313333"/>
          <w:w w:val="110"/>
          <w:sz w:val="20"/>
        </w:rPr>
        <w:t>Australian Government</w:t>
      </w:r>
    </w:p>
    <w:p>
      <w:pPr>
        <w:spacing w:before="31"/>
        <w:ind w:left="931" w:right="6399" w:firstLine="11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313333"/>
          <w:sz w:val="20"/>
        </w:rPr>
        <w:t>Department ofimmigration and Border Protection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Title"/>
      </w:pPr>
      <w:r>
        <w:rPr>
          <w:color w:val="313333"/>
        </w:rPr>
        <w:t>DEPARTMENT OF IMMIGRATION AND BORDER PROTECTION NOTICE</w:t>
      </w:r>
    </w:p>
    <w:p>
      <w:pPr>
        <w:spacing w:before="136"/>
        <w:ind w:left="415" w:right="340" w:firstLine="0"/>
        <w:jc w:val="center"/>
        <w:rPr>
          <w:b/>
          <w:sz w:val="23"/>
        </w:rPr>
      </w:pPr>
      <w:r>
        <w:rPr/>
        <w:pict>
          <v:shape style="position:absolute;margin-left:51.927143pt;margin-top:23.353949pt;width:467.35pt;height:.1pt;mso-position-horizontal-relative:page;mso-position-vertical-relative:paragraph;z-index:-15728128;mso-wrap-distance-left:0;mso-wrap-distance-right:0" coordorigin="1039,467" coordsize="9347,0" path="m1039,467l10385,467e" filled="false" stroked="true" strokeweight=".480593pt" strokecolor="#000000">
            <v:path arrowok="t"/>
            <v:stroke dashstyle="solid"/>
            <w10:wrap type="topAndBottom"/>
          </v:shape>
        </w:pict>
      </w:r>
      <w:r>
        <w:rPr>
          <w:b/>
          <w:color w:val="313333"/>
          <w:w w:val="105"/>
          <w:sz w:val="23"/>
        </w:rPr>
        <w:t>No. 2016/15</w:t>
      </w:r>
    </w:p>
    <w:p>
      <w:pPr>
        <w:spacing w:before="149"/>
        <w:ind w:left="2640" w:right="0" w:firstLine="0"/>
        <w:jc w:val="left"/>
        <w:rPr>
          <w:b/>
          <w:sz w:val="23"/>
        </w:rPr>
      </w:pPr>
      <w:r>
        <w:rPr>
          <w:b/>
          <w:color w:val="313333"/>
          <w:w w:val="105"/>
          <w:sz w:val="23"/>
        </w:rPr>
        <w:t>New Import Prohibition - Signal Jammers</w:t>
      </w:r>
    </w:p>
    <w:p>
      <w:pPr>
        <w:pStyle w:val="BodyText"/>
        <w:spacing w:line="290" w:lineRule="auto" w:before="139"/>
        <w:ind w:left="128" w:right="81" w:hanging="1"/>
      </w:pPr>
      <w:r>
        <w:rPr>
          <w:color w:val="313333"/>
          <w:w w:val="105"/>
        </w:rPr>
        <w:t>On 10 May 2016, a new border control to prohibit the importation of signal jammers will commence </w:t>
      </w:r>
      <w:r>
        <w:rPr>
          <w:color w:val="5E6060"/>
          <w:w w:val="105"/>
        </w:rPr>
        <w:t>. </w:t>
      </w:r>
      <w:r>
        <w:rPr>
          <w:color w:val="313333"/>
          <w:w w:val="105"/>
        </w:rPr>
        <w:t>This follows the Federal Executive Council's endorsement of amendments to </w:t>
      </w:r>
      <w:r>
        <w:rPr>
          <w:color w:val="414242"/>
          <w:w w:val="105"/>
        </w:rPr>
        <w:t>the </w:t>
      </w:r>
      <w:r>
        <w:rPr>
          <w:i/>
          <w:color w:val="313333"/>
          <w:w w:val="105"/>
        </w:rPr>
        <w:t>Customs (Prohibited Imports) Regulations 1956. </w:t>
      </w:r>
      <w:r>
        <w:rPr>
          <w:color w:val="313333"/>
          <w:w w:val="105"/>
        </w:rPr>
        <w:t>Effective from 10 May 2016, signal jammers' </w:t>
      </w:r>
      <w:r>
        <w:rPr>
          <w:color w:val="414242"/>
          <w:w w:val="105"/>
        </w:rPr>
        <w:t>imports </w:t>
      </w:r>
      <w:r>
        <w:rPr>
          <w:color w:val="313333"/>
          <w:w w:val="105"/>
        </w:rPr>
        <w:t>will be prohibited unless a domestic exemption applies. The import prohibition will complement the existing domestic prohibition for these goods.</w:t>
      </w:r>
    </w:p>
    <w:p>
      <w:pPr>
        <w:pStyle w:val="BodyText"/>
        <w:rPr>
          <w:sz w:val="25"/>
        </w:rPr>
      </w:pPr>
    </w:p>
    <w:p>
      <w:pPr>
        <w:pStyle w:val="Heading1"/>
        <w:spacing w:before="1"/>
      </w:pPr>
      <w:r>
        <w:rPr>
          <w:color w:val="313333"/>
          <w:w w:val="105"/>
        </w:rPr>
        <w:t>Background</w:t>
      </w:r>
    </w:p>
    <w:p>
      <w:pPr>
        <w:pStyle w:val="BodyText"/>
        <w:spacing w:line="290" w:lineRule="auto" w:before="171"/>
        <w:ind w:left="133" w:right="103" w:hanging="1"/>
      </w:pPr>
      <w:r>
        <w:rPr>
          <w:color w:val="313333"/>
          <w:w w:val="105"/>
        </w:rPr>
        <w:t>Signal jammers can prevent or disrupt mobile phone and satellite navigation services. The prohibited device must be a device that: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913" w:val="left" w:leader="none"/>
        </w:tabs>
        <w:spacing w:line="240" w:lineRule="auto" w:before="12" w:after="0"/>
        <w:ind w:left="912" w:right="0" w:hanging="359"/>
        <w:jc w:val="left"/>
        <w:rPr>
          <w:sz w:val="21"/>
        </w:rPr>
      </w:pPr>
      <w:r>
        <w:rPr>
          <w:color w:val="313333"/>
          <w:w w:val="105"/>
          <w:sz w:val="21"/>
        </w:rPr>
        <w:t>is designed to have an adverse effect on radiocommunications;</w:t>
      </w:r>
      <w:r>
        <w:rPr>
          <w:color w:val="313333"/>
          <w:spacing w:val="21"/>
          <w:w w:val="105"/>
          <w:sz w:val="21"/>
        </w:rPr>
        <w:t> </w:t>
      </w:r>
      <w:r>
        <w:rPr>
          <w:color w:val="313333"/>
          <w:w w:val="105"/>
          <w:sz w:val="21"/>
        </w:rPr>
        <w:t>or</w:t>
      </w:r>
    </w:p>
    <w:p>
      <w:pPr>
        <w:pStyle w:val="ListParagraph"/>
        <w:numPr>
          <w:ilvl w:val="0"/>
          <w:numId w:val="1"/>
        </w:numPr>
        <w:tabs>
          <w:tab w:pos="916" w:val="left" w:leader="none"/>
          <w:tab w:pos="917" w:val="left" w:leader="none"/>
        </w:tabs>
        <w:spacing w:line="240" w:lineRule="auto" w:before="66" w:after="0"/>
        <w:ind w:left="916" w:right="0" w:hanging="363"/>
        <w:jc w:val="left"/>
        <w:rPr>
          <w:sz w:val="21"/>
        </w:rPr>
      </w:pPr>
      <w:r>
        <w:rPr>
          <w:color w:val="313333"/>
          <w:w w:val="105"/>
          <w:sz w:val="21"/>
        </w:rPr>
        <w:t>would be likely </w:t>
      </w:r>
      <w:r>
        <w:rPr>
          <w:color w:val="414242"/>
          <w:w w:val="105"/>
          <w:sz w:val="21"/>
        </w:rPr>
        <w:t>to</w:t>
      </w:r>
      <w:r>
        <w:rPr>
          <w:color w:val="414242"/>
          <w:spacing w:val="11"/>
          <w:w w:val="105"/>
          <w:sz w:val="21"/>
        </w:rPr>
        <w:t> </w:t>
      </w:r>
      <w:r>
        <w:rPr>
          <w:color w:val="313333"/>
          <w:w w:val="105"/>
          <w:sz w:val="21"/>
        </w:rPr>
        <w:t>substantially:</w:t>
      </w:r>
    </w:p>
    <w:p>
      <w:pPr>
        <w:pStyle w:val="ListParagraph"/>
        <w:numPr>
          <w:ilvl w:val="1"/>
          <w:numId w:val="1"/>
        </w:numPr>
        <w:tabs>
          <w:tab w:pos="1638" w:val="left" w:leader="none"/>
          <w:tab w:pos="1639" w:val="left" w:leader="none"/>
        </w:tabs>
        <w:spacing w:line="240" w:lineRule="auto" w:before="52" w:after="0"/>
        <w:ind w:left="1638" w:right="0" w:hanging="360"/>
        <w:jc w:val="left"/>
        <w:rPr>
          <w:sz w:val="21"/>
        </w:rPr>
      </w:pPr>
      <w:r>
        <w:rPr>
          <w:color w:val="313333"/>
          <w:w w:val="105"/>
          <w:sz w:val="21"/>
        </w:rPr>
        <w:t>interfere with radiocommunications;</w:t>
      </w:r>
      <w:r>
        <w:rPr>
          <w:color w:val="313333"/>
          <w:spacing w:val="17"/>
          <w:w w:val="105"/>
          <w:sz w:val="21"/>
        </w:rPr>
        <w:t> </w:t>
      </w:r>
      <w:r>
        <w:rPr>
          <w:color w:val="313333"/>
          <w:w w:val="105"/>
          <w:sz w:val="21"/>
        </w:rPr>
        <w:t>or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40" w:lineRule="auto" w:before="51" w:after="0"/>
        <w:ind w:left="1635" w:right="0" w:hanging="357"/>
        <w:jc w:val="left"/>
        <w:rPr>
          <w:sz w:val="21"/>
        </w:rPr>
      </w:pPr>
      <w:r>
        <w:rPr>
          <w:color w:val="313333"/>
          <w:w w:val="105"/>
          <w:sz w:val="21"/>
        </w:rPr>
        <w:t>disrupt or disturb radiocommunications in any other way;</w:t>
      </w:r>
      <w:r>
        <w:rPr>
          <w:color w:val="313333"/>
          <w:spacing w:val="18"/>
          <w:w w:val="105"/>
          <w:sz w:val="21"/>
        </w:rPr>
        <w:t> </w:t>
      </w:r>
      <w:r>
        <w:rPr>
          <w:color w:val="313333"/>
          <w:w w:val="105"/>
          <w:sz w:val="21"/>
        </w:rPr>
        <w:t>or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913" w:val="left" w:leader="none"/>
        </w:tabs>
        <w:spacing w:line="290" w:lineRule="auto" w:before="62" w:after="0"/>
        <w:ind w:left="917" w:right="534" w:hanging="359"/>
        <w:jc w:val="left"/>
        <w:rPr>
          <w:sz w:val="21"/>
        </w:rPr>
      </w:pPr>
      <w:r>
        <w:rPr>
          <w:color w:val="313333"/>
          <w:w w:val="105"/>
          <w:sz w:val="21"/>
        </w:rPr>
        <w:t>is a radiocommunications transmitter, or a </w:t>
      </w:r>
      <w:r>
        <w:rPr>
          <w:color w:val="414242"/>
          <w:w w:val="105"/>
          <w:sz w:val="21"/>
        </w:rPr>
        <w:t>radiocommunications </w:t>
      </w:r>
      <w:r>
        <w:rPr>
          <w:color w:val="313333"/>
          <w:w w:val="105"/>
          <w:sz w:val="21"/>
        </w:rPr>
        <w:t>receiver, </w:t>
      </w:r>
      <w:r>
        <w:rPr>
          <w:color w:val="414242"/>
          <w:w w:val="105"/>
          <w:sz w:val="21"/>
        </w:rPr>
        <w:t>that would</w:t>
      </w:r>
      <w:r>
        <w:rPr>
          <w:color w:val="414242"/>
          <w:spacing w:val="-29"/>
          <w:w w:val="105"/>
          <w:sz w:val="21"/>
        </w:rPr>
        <w:t> </w:t>
      </w:r>
      <w:r>
        <w:rPr>
          <w:color w:val="313333"/>
          <w:w w:val="105"/>
          <w:sz w:val="21"/>
        </w:rPr>
        <w:t>be reasonably likely to have an adverse effect on the </w:t>
      </w:r>
      <w:r>
        <w:rPr>
          <w:color w:val="414242"/>
          <w:w w:val="105"/>
          <w:sz w:val="21"/>
        </w:rPr>
        <w:t>health </w:t>
      </w:r>
      <w:r>
        <w:rPr>
          <w:color w:val="313333"/>
          <w:w w:val="105"/>
          <w:sz w:val="21"/>
        </w:rPr>
        <w:t>or safety of persons</w:t>
      </w:r>
      <w:r>
        <w:rPr>
          <w:color w:val="313333"/>
          <w:spacing w:val="-8"/>
          <w:w w:val="105"/>
          <w:sz w:val="21"/>
        </w:rPr>
        <w:t> </w:t>
      </w:r>
      <w:r>
        <w:rPr>
          <w:color w:val="313333"/>
          <w:w w:val="105"/>
          <w:sz w:val="21"/>
        </w:rPr>
        <w:t>who: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2" w:after="0"/>
        <w:ind w:left="1640" w:right="0" w:hanging="357"/>
        <w:jc w:val="left"/>
        <w:rPr>
          <w:sz w:val="21"/>
        </w:rPr>
      </w:pPr>
      <w:r>
        <w:rPr>
          <w:color w:val="313333"/>
          <w:w w:val="105"/>
          <w:sz w:val="21"/>
        </w:rPr>
        <w:t>operate the device;</w:t>
      </w:r>
      <w:r>
        <w:rPr>
          <w:color w:val="313333"/>
          <w:spacing w:val="-15"/>
          <w:w w:val="105"/>
          <w:sz w:val="21"/>
        </w:rPr>
        <w:t> </w:t>
      </w:r>
      <w:r>
        <w:rPr>
          <w:color w:val="313333"/>
          <w:w w:val="105"/>
          <w:sz w:val="21"/>
        </w:rPr>
        <w:t>or</w:t>
      </w:r>
    </w:p>
    <w:p>
      <w:pPr>
        <w:pStyle w:val="ListParagraph"/>
        <w:numPr>
          <w:ilvl w:val="1"/>
          <w:numId w:val="1"/>
        </w:numPr>
        <w:tabs>
          <w:tab w:pos="1642" w:val="left" w:leader="none"/>
          <w:tab w:pos="1643" w:val="left" w:leader="none"/>
        </w:tabs>
        <w:spacing w:line="240" w:lineRule="auto" w:before="51" w:after="0"/>
        <w:ind w:left="1642" w:right="0" w:hanging="359"/>
        <w:jc w:val="left"/>
        <w:rPr>
          <w:sz w:val="21"/>
        </w:rPr>
      </w:pPr>
      <w:r>
        <w:rPr>
          <w:color w:val="313333"/>
          <w:w w:val="105"/>
          <w:sz w:val="21"/>
        </w:rPr>
        <w:t>work on the device;</w:t>
      </w:r>
      <w:r>
        <w:rPr>
          <w:color w:val="313333"/>
          <w:spacing w:val="-9"/>
          <w:w w:val="105"/>
          <w:sz w:val="21"/>
        </w:rPr>
        <w:t> </w:t>
      </w:r>
      <w:r>
        <w:rPr>
          <w:color w:val="313333"/>
          <w:w w:val="105"/>
          <w:sz w:val="21"/>
        </w:rPr>
        <w:t>or</w:t>
      </w:r>
    </w:p>
    <w:p>
      <w:pPr>
        <w:pStyle w:val="ListParagraph"/>
        <w:numPr>
          <w:ilvl w:val="1"/>
          <w:numId w:val="1"/>
        </w:numPr>
        <w:tabs>
          <w:tab w:pos="1643" w:val="left" w:leader="none"/>
          <w:tab w:pos="1644" w:val="left" w:leader="none"/>
        </w:tabs>
        <w:spacing w:line="240" w:lineRule="auto" w:before="47" w:after="0"/>
        <w:ind w:left="1643" w:right="0" w:hanging="360"/>
        <w:jc w:val="left"/>
        <w:rPr>
          <w:sz w:val="21"/>
        </w:rPr>
      </w:pPr>
      <w:r>
        <w:rPr>
          <w:color w:val="313333"/>
          <w:w w:val="105"/>
          <w:sz w:val="21"/>
        </w:rPr>
        <w:t>use services supplied </w:t>
      </w:r>
      <w:r>
        <w:rPr>
          <w:color w:val="414242"/>
          <w:w w:val="105"/>
          <w:sz w:val="21"/>
        </w:rPr>
        <w:t>by </w:t>
      </w:r>
      <w:r>
        <w:rPr>
          <w:color w:val="313333"/>
          <w:w w:val="105"/>
          <w:sz w:val="21"/>
        </w:rPr>
        <w:t>means of the device;</w:t>
      </w:r>
      <w:r>
        <w:rPr>
          <w:color w:val="313333"/>
          <w:spacing w:val="1"/>
          <w:w w:val="105"/>
          <w:sz w:val="21"/>
        </w:rPr>
        <w:t> </w:t>
      </w:r>
      <w:r>
        <w:rPr>
          <w:color w:val="313333"/>
          <w:w w:val="105"/>
          <w:sz w:val="21"/>
        </w:rPr>
        <w:t>or</w:t>
      </w:r>
    </w:p>
    <w:p>
      <w:pPr>
        <w:pStyle w:val="ListParagraph"/>
        <w:numPr>
          <w:ilvl w:val="1"/>
          <w:numId w:val="1"/>
        </w:numPr>
        <w:tabs>
          <w:tab w:pos="1644" w:val="left" w:leader="none"/>
          <w:tab w:pos="1645" w:val="left" w:leader="none"/>
        </w:tabs>
        <w:spacing w:line="240" w:lineRule="auto" w:before="52" w:after="0"/>
        <w:ind w:left="1644" w:right="0" w:hanging="361"/>
        <w:jc w:val="left"/>
        <w:rPr>
          <w:sz w:val="21"/>
        </w:rPr>
      </w:pPr>
      <w:r>
        <w:rPr>
          <w:color w:val="313333"/>
          <w:w w:val="105"/>
          <w:sz w:val="21"/>
        </w:rPr>
        <w:t>are reasonably likely to be affected by </w:t>
      </w:r>
      <w:r>
        <w:rPr>
          <w:color w:val="414242"/>
          <w:w w:val="105"/>
          <w:sz w:val="21"/>
        </w:rPr>
        <w:t>the </w:t>
      </w:r>
      <w:r>
        <w:rPr>
          <w:color w:val="313333"/>
          <w:w w:val="105"/>
          <w:sz w:val="21"/>
        </w:rPr>
        <w:t>operation of </w:t>
      </w:r>
      <w:r>
        <w:rPr>
          <w:color w:val="414242"/>
          <w:w w:val="105"/>
          <w:sz w:val="21"/>
        </w:rPr>
        <w:t>the</w:t>
      </w:r>
      <w:r>
        <w:rPr>
          <w:color w:val="414242"/>
          <w:spacing w:val="33"/>
          <w:w w:val="105"/>
          <w:sz w:val="21"/>
        </w:rPr>
        <w:t> </w:t>
      </w:r>
      <w:r>
        <w:rPr>
          <w:color w:val="414242"/>
          <w:w w:val="105"/>
          <w:sz w:val="21"/>
        </w:rPr>
        <w:t>device.</w:t>
      </w:r>
    </w:p>
    <w:p>
      <w:pPr>
        <w:pStyle w:val="BodyText"/>
        <w:rPr>
          <w:sz w:val="30"/>
        </w:rPr>
      </w:pPr>
    </w:p>
    <w:p>
      <w:pPr>
        <w:pStyle w:val="BodyText"/>
        <w:spacing w:line="290" w:lineRule="auto"/>
        <w:ind w:left="142"/>
      </w:pPr>
      <w:r>
        <w:rPr>
          <w:color w:val="313333"/>
          <w:w w:val="105"/>
        </w:rPr>
        <w:t>Signal jammers are prohibited for domestic use </w:t>
      </w:r>
      <w:r>
        <w:rPr>
          <w:color w:val="414242"/>
          <w:w w:val="105"/>
        </w:rPr>
        <w:t>in </w:t>
      </w:r>
      <w:r>
        <w:rPr>
          <w:color w:val="313333"/>
          <w:w w:val="105"/>
        </w:rPr>
        <w:t>Australia by operation of section 190 of the </w:t>
      </w:r>
      <w:r>
        <w:rPr>
          <w:i/>
          <w:color w:val="313333"/>
          <w:w w:val="105"/>
        </w:rPr>
        <w:t>Radiocommunications Act 1992, </w:t>
      </w:r>
      <w:r>
        <w:rPr>
          <w:color w:val="313333"/>
          <w:w w:val="105"/>
        </w:rPr>
        <w:t>administered by the Australian Communications and Media Authority (ACMA).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0" w:lineRule="auto" w:before="1"/>
        <w:ind w:left="144" w:right="98" w:firstLine="2"/>
        <w:jc w:val="both"/>
      </w:pPr>
      <w:r>
        <w:rPr>
          <w:color w:val="313333"/>
          <w:w w:val="105"/>
        </w:rPr>
        <w:t>Once</w:t>
      </w:r>
      <w:r>
        <w:rPr>
          <w:color w:val="313333"/>
          <w:spacing w:val="-4"/>
          <w:w w:val="105"/>
        </w:rPr>
        <w:t> </w:t>
      </w:r>
      <w:r>
        <w:rPr>
          <w:color w:val="313333"/>
          <w:w w:val="105"/>
        </w:rPr>
        <w:t>the</w:t>
      </w:r>
      <w:r>
        <w:rPr>
          <w:color w:val="313333"/>
          <w:spacing w:val="-8"/>
          <w:w w:val="105"/>
        </w:rPr>
        <w:t> </w:t>
      </w:r>
      <w:r>
        <w:rPr>
          <w:color w:val="313333"/>
          <w:w w:val="105"/>
        </w:rPr>
        <w:t>new</w:t>
      </w:r>
      <w:r>
        <w:rPr>
          <w:color w:val="313333"/>
          <w:spacing w:val="-5"/>
          <w:w w:val="105"/>
        </w:rPr>
        <w:t> </w:t>
      </w:r>
      <w:r>
        <w:rPr>
          <w:color w:val="313333"/>
          <w:w w:val="105"/>
        </w:rPr>
        <w:t>import</w:t>
      </w:r>
      <w:r>
        <w:rPr>
          <w:color w:val="313333"/>
          <w:spacing w:val="-8"/>
          <w:w w:val="105"/>
        </w:rPr>
        <w:t> </w:t>
      </w:r>
      <w:r>
        <w:rPr>
          <w:color w:val="313333"/>
          <w:w w:val="105"/>
        </w:rPr>
        <w:t>prohibition</w:t>
      </w:r>
      <w:r>
        <w:rPr>
          <w:color w:val="313333"/>
          <w:spacing w:val="-5"/>
          <w:w w:val="105"/>
        </w:rPr>
        <w:t> </w:t>
      </w:r>
      <w:r>
        <w:rPr>
          <w:color w:val="313333"/>
          <w:w w:val="105"/>
        </w:rPr>
        <w:t>for</w:t>
      </w:r>
      <w:r>
        <w:rPr>
          <w:color w:val="313333"/>
          <w:spacing w:val="-9"/>
          <w:w w:val="105"/>
        </w:rPr>
        <w:t> </w:t>
      </w:r>
      <w:r>
        <w:rPr>
          <w:color w:val="313333"/>
          <w:w w:val="105"/>
        </w:rPr>
        <w:t>signal</w:t>
      </w:r>
      <w:r>
        <w:rPr>
          <w:color w:val="313333"/>
          <w:spacing w:val="-9"/>
          <w:w w:val="105"/>
        </w:rPr>
        <w:t> </w:t>
      </w:r>
      <w:r>
        <w:rPr>
          <w:color w:val="313333"/>
          <w:w w:val="105"/>
        </w:rPr>
        <w:t>jammers</w:t>
      </w:r>
      <w:r>
        <w:rPr>
          <w:color w:val="313333"/>
          <w:spacing w:val="3"/>
          <w:w w:val="105"/>
        </w:rPr>
        <w:t> </w:t>
      </w:r>
      <w:r>
        <w:rPr>
          <w:color w:val="313333"/>
          <w:w w:val="105"/>
        </w:rPr>
        <w:t>commences,</w:t>
      </w:r>
      <w:r>
        <w:rPr>
          <w:color w:val="313333"/>
          <w:spacing w:val="4"/>
          <w:w w:val="105"/>
        </w:rPr>
        <w:t> </w:t>
      </w:r>
      <w:r>
        <w:rPr>
          <w:color w:val="313333"/>
          <w:w w:val="105"/>
        </w:rPr>
        <w:t>the</w:t>
      </w:r>
      <w:r>
        <w:rPr>
          <w:color w:val="313333"/>
          <w:spacing w:val="-5"/>
          <w:w w:val="105"/>
        </w:rPr>
        <w:t> </w:t>
      </w:r>
      <w:r>
        <w:rPr>
          <w:color w:val="313333"/>
          <w:w w:val="105"/>
        </w:rPr>
        <w:t>Australian</w:t>
      </w:r>
      <w:r>
        <w:rPr>
          <w:color w:val="313333"/>
          <w:spacing w:val="3"/>
          <w:w w:val="105"/>
        </w:rPr>
        <w:t> </w:t>
      </w:r>
      <w:r>
        <w:rPr>
          <w:color w:val="313333"/>
          <w:w w:val="105"/>
        </w:rPr>
        <w:t>Border</w:t>
      </w:r>
      <w:r>
        <w:rPr>
          <w:color w:val="313333"/>
          <w:spacing w:val="-1"/>
          <w:w w:val="105"/>
        </w:rPr>
        <w:t> </w:t>
      </w:r>
      <w:r>
        <w:rPr>
          <w:color w:val="313333"/>
          <w:w w:val="105"/>
        </w:rPr>
        <w:t>Force will</w:t>
      </w:r>
      <w:r>
        <w:rPr>
          <w:color w:val="313333"/>
          <w:spacing w:val="-10"/>
          <w:w w:val="105"/>
        </w:rPr>
        <w:t> </w:t>
      </w:r>
      <w:r>
        <w:rPr>
          <w:color w:val="313333"/>
          <w:w w:val="105"/>
        </w:rPr>
        <w:t>be able</w:t>
      </w:r>
      <w:r>
        <w:rPr>
          <w:color w:val="313333"/>
          <w:spacing w:val="-6"/>
          <w:w w:val="105"/>
        </w:rPr>
        <w:t> </w:t>
      </w:r>
      <w:r>
        <w:rPr>
          <w:color w:val="313333"/>
          <w:w w:val="105"/>
        </w:rPr>
        <w:t>to</w:t>
      </w:r>
      <w:r>
        <w:rPr>
          <w:color w:val="313333"/>
          <w:spacing w:val="-2"/>
          <w:w w:val="105"/>
        </w:rPr>
        <w:t> </w:t>
      </w:r>
      <w:r>
        <w:rPr>
          <w:color w:val="313333"/>
          <w:w w:val="105"/>
        </w:rPr>
        <w:t>seize</w:t>
      </w:r>
      <w:r>
        <w:rPr>
          <w:color w:val="313333"/>
          <w:spacing w:val="-2"/>
          <w:w w:val="105"/>
        </w:rPr>
        <w:t> </w:t>
      </w:r>
      <w:r>
        <w:rPr>
          <w:color w:val="313333"/>
          <w:w w:val="105"/>
        </w:rPr>
        <w:t>these</w:t>
      </w:r>
      <w:r>
        <w:rPr>
          <w:color w:val="313333"/>
          <w:spacing w:val="-4"/>
          <w:w w:val="105"/>
        </w:rPr>
        <w:t> </w:t>
      </w:r>
      <w:r>
        <w:rPr>
          <w:color w:val="313333"/>
          <w:w w:val="105"/>
        </w:rPr>
        <w:t>goods at</w:t>
      </w:r>
      <w:r>
        <w:rPr>
          <w:color w:val="313333"/>
          <w:spacing w:val="-7"/>
          <w:w w:val="105"/>
        </w:rPr>
        <w:t> </w:t>
      </w:r>
      <w:r>
        <w:rPr>
          <w:color w:val="313333"/>
          <w:w w:val="105"/>
        </w:rPr>
        <w:t>the</w:t>
      </w:r>
      <w:r>
        <w:rPr>
          <w:color w:val="313333"/>
          <w:spacing w:val="-10"/>
          <w:w w:val="105"/>
        </w:rPr>
        <w:t> </w:t>
      </w:r>
      <w:r>
        <w:rPr>
          <w:color w:val="313333"/>
          <w:w w:val="105"/>
        </w:rPr>
        <w:t>border.</w:t>
      </w:r>
      <w:r>
        <w:rPr>
          <w:color w:val="313333"/>
          <w:spacing w:val="-1"/>
          <w:w w:val="105"/>
        </w:rPr>
        <w:t> </w:t>
      </w:r>
      <w:r>
        <w:rPr>
          <w:color w:val="313333"/>
          <w:w w:val="105"/>
        </w:rPr>
        <w:t>Importing</w:t>
      </w:r>
      <w:r>
        <w:rPr>
          <w:color w:val="313333"/>
          <w:spacing w:val="2"/>
          <w:w w:val="105"/>
        </w:rPr>
        <w:t> </w:t>
      </w:r>
      <w:r>
        <w:rPr>
          <w:color w:val="313333"/>
          <w:w w:val="105"/>
        </w:rPr>
        <w:t>these</w:t>
      </w:r>
      <w:r>
        <w:rPr>
          <w:color w:val="313333"/>
          <w:spacing w:val="-1"/>
          <w:w w:val="105"/>
        </w:rPr>
        <w:t> </w:t>
      </w:r>
      <w:r>
        <w:rPr>
          <w:color w:val="313333"/>
          <w:w w:val="105"/>
        </w:rPr>
        <w:t>prohibited</w:t>
      </w:r>
      <w:r>
        <w:rPr>
          <w:color w:val="313333"/>
          <w:spacing w:val="-6"/>
          <w:w w:val="105"/>
        </w:rPr>
        <w:t> </w:t>
      </w:r>
      <w:r>
        <w:rPr>
          <w:color w:val="313333"/>
          <w:w w:val="105"/>
        </w:rPr>
        <w:t>goods</w:t>
      </w:r>
      <w:r>
        <w:rPr>
          <w:color w:val="313333"/>
          <w:spacing w:val="-2"/>
          <w:w w:val="105"/>
        </w:rPr>
        <w:t> </w:t>
      </w:r>
      <w:r>
        <w:rPr>
          <w:color w:val="313333"/>
          <w:w w:val="105"/>
        </w:rPr>
        <w:t>may</w:t>
      </w:r>
      <w:r>
        <w:rPr>
          <w:color w:val="313333"/>
          <w:spacing w:val="-5"/>
          <w:w w:val="105"/>
        </w:rPr>
        <w:t> </w:t>
      </w:r>
      <w:r>
        <w:rPr>
          <w:color w:val="414242"/>
          <w:w w:val="105"/>
        </w:rPr>
        <w:t>lead</w:t>
      </w:r>
      <w:r>
        <w:rPr>
          <w:color w:val="414242"/>
          <w:spacing w:val="-9"/>
          <w:w w:val="105"/>
        </w:rPr>
        <w:t> </w:t>
      </w:r>
      <w:r>
        <w:rPr>
          <w:color w:val="313333"/>
          <w:w w:val="105"/>
        </w:rPr>
        <w:t>to</w:t>
      </w:r>
      <w:r>
        <w:rPr>
          <w:color w:val="313333"/>
          <w:spacing w:val="-7"/>
          <w:w w:val="105"/>
        </w:rPr>
        <w:t> </w:t>
      </w:r>
      <w:r>
        <w:rPr>
          <w:color w:val="313333"/>
          <w:w w:val="105"/>
        </w:rPr>
        <w:t>penalties</w:t>
      </w:r>
      <w:r>
        <w:rPr>
          <w:color w:val="313333"/>
          <w:spacing w:val="-1"/>
          <w:w w:val="105"/>
        </w:rPr>
        <w:t> </w:t>
      </w:r>
      <w:r>
        <w:rPr>
          <w:color w:val="313333"/>
          <w:w w:val="105"/>
        </w:rPr>
        <w:t>and prosecution.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146"/>
      </w:pPr>
      <w:r>
        <w:rPr>
          <w:color w:val="313333"/>
          <w:w w:val="105"/>
        </w:rPr>
        <w:t>Further </w:t>
      </w:r>
      <w:r>
        <w:rPr>
          <w:color w:val="212121"/>
          <w:w w:val="105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  <w:tab w:pos="866" w:val="left" w:leader="none"/>
        </w:tabs>
        <w:spacing w:line="290" w:lineRule="auto" w:before="182" w:after="0"/>
        <w:ind w:left="868" w:right="758" w:hanging="362"/>
        <w:jc w:val="left"/>
        <w:rPr>
          <w:sz w:val="21"/>
        </w:rPr>
      </w:pPr>
      <w:r>
        <w:rPr>
          <w:color w:val="313333"/>
          <w:w w:val="105"/>
          <w:sz w:val="21"/>
        </w:rPr>
        <w:t>Further</w:t>
      </w:r>
      <w:r>
        <w:rPr>
          <w:color w:val="313333"/>
          <w:spacing w:val="-1"/>
          <w:w w:val="105"/>
          <w:sz w:val="21"/>
        </w:rPr>
        <w:t> </w:t>
      </w:r>
      <w:r>
        <w:rPr>
          <w:color w:val="313333"/>
          <w:w w:val="105"/>
          <w:sz w:val="21"/>
        </w:rPr>
        <w:t>information</w:t>
      </w:r>
      <w:r>
        <w:rPr>
          <w:color w:val="313333"/>
          <w:spacing w:val="3"/>
          <w:w w:val="105"/>
          <w:sz w:val="21"/>
        </w:rPr>
        <w:t> </w:t>
      </w:r>
      <w:r>
        <w:rPr>
          <w:color w:val="313333"/>
          <w:w w:val="105"/>
          <w:sz w:val="21"/>
        </w:rPr>
        <w:t>about</w:t>
      </w:r>
      <w:r>
        <w:rPr>
          <w:color w:val="313333"/>
          <w:spacing w:val="-6"/>
          <w:w w:val="105"/>
          <w:sz w:val="21"/>
        </w:rPr>
        <w:t> </w:t>
      </w:r>
      <w:r>
        <w:rPr>
          <w:color w:val="313333"/>
          <w:w w:val="105"/>
          <w:sz w:val="21"/>
        </w:rPr>
        <w:t>the</w:t>
      </w:r>
      <w:r>
        <w:rPr>
          <w:color w:val="313333"/>
          <w:spacing w:val="-3"/>
          <w:w w:val="105"/>
          <w:sz w:val="21"/>
        </w:rPr>
        <w:t> </w:t>
      </w:r>
      <w:r>
        <w:rPr>
          <w:color w:val="313333"/>
          <w:w w:val="105"/>
          <w:sz w:val="21"/>
        </w:rPr>
        <w:t>new</w:t>
      </w:r>
      <w:r>
        <w:rPr>
          <w:color w:val="313333"/>
          <w:spacing w:val="-9"/>
          <w:w w:val="105"/>
          <w:sz w:val="21"/>
        </w:rPr>
        <w:t> </w:t>
      </w:r>
      <w:r>
        <w:rPr>
          <w:color w:val="313333"/>
          <w:w w:val="105"/>
          <w:sz w:val="21"/>
        </w:rPr>
        <w:t>border</w:t>
      </w:r>
      <w:r>
        <w:rPr>
          <w:color w:val="313333"/>
          <w:spacing w:val="5"/>
          <w:w w:val="105"/>
          <w:sz w:val="21"/>
        </w:rPr>
        <w:t> </w:t>
      </w:r>
      <w:r>
        <w:rPr>
          <w:color w:val="313333"/>
          <w:w w:val="105"/>
          <w:sz w:val="21"/>
        </w:rPr>
        <w:t>control</w:t>
      </w:r>
      <w:r>
        <w:rPr>
          <w:color w:val="313333"/>
          <w:spacing w:val="2"/>
          <w:w w:val="105"/>
          <w:sz w:val="21"/>
        </w:rPr>
        <w:t> </w:t>
      </w:r>
      <w:r>
        <w:rPr>
          <w:color w:val="313333"/>
          <w:w w:val="105"/>
          <w:sz w:val="21"/>
        </w:rPr>
        <w:t>can</w:t>
      </w:r>
      <w:r>
        <w:rPr>
          <w:color w:val="313333"/>
          <w:spacing w:val="-9"/>
          <w:w w:val="105"/>
          <w:sz w:val="21"/>
        </w:rPr>
        <w:t> </w:t>
      </w:r>
      <w:r>
        <w:rPr>
          <w:color w:val="313333"/>
          <w:w w:val="105"/>
          <w:sz w:val="21"/>
        </w:rPr>
        <w:t>be</w:t>
      </w:r>
      <w:r>
        <w:rPr>
          <w:color w:val="313333"/>
          <w:spacing w:val="-10"/>
          <w:w w:val="105"/>
          <w:sz w:val="21"/>
        </w:rPr>
        <w:t> </w:t>
      </w:r>
      <w:r>
        <w:rPr>
          <w:color w:val="313333"/>
          <w:w w:val="105"/>
          <w:sz w:val="21"/>
        </w:rPr>
        <w:t>obtained</w:t>
      </w:r>
      <w:r>
        <w:rPr>
          <w:color w:val="313333"/>
          <w:spacing w:val="-2"/>
          <w:w w:val="105"/>
          <w:sz w:val="21"/>
        </w:rPr>
        <w:t> </w:t>
      </w:r>
      <w:r>
        <w:rPr>
          <w:color w:val="313333"/>
          <w:w w:val="105"/>
          <w:sz w:val="21"/>
        </w:rPr>
        <w:t>at</w:t>
      </w:r>
      <w:r>
        <w:rPr>
          <w:color w:val="313333"/>
          <w:spacing w:val="-12"/>
          <w:w w:val="105"/>
          <w:sz w:val="21"/>
        </w:rPr>
        <w:t> </w:t>
      </w:r>
      <w:r>
        <w:rPr>
          <w:color w:val="414242"/>
          <w:w w:val="105"/>
          <w:sz w:val="21"/>
        </w:rPr>
        <w:t>the</w:t>
      </w:r>
      <w:r>
        <w:rPr>
          <w:color w:val="414242"/>
          <w:spacing w:val="-10"/>
          <w:w w:val="105"/>
          <w:sz w:val="21"/>
        </w:rPr>
        <w:t> </w:t>
      </w:r>
      <w:r>
        <w:rPr>
          <w:color w:val="313333"/>
          <w:w w:val="105"/>
          <w:sz w:val="21"/>
        </w:rPr>
        <w:t>Department's website</w:t>
      </w:r>
      <w:r>
        <w:rPr>
          <w:color w:val="344D80"/>
          <w:w w:val="105"/>
          <w:sz w:val="21"/>
        </w:rPr>
        <w:t> </w:t>
      </w:r>
      <w:hyperlink r:id="rId6">
        <w:r>
          <w:rPr>
            <w:color w:val="344D80"/>
            <w:w w:val="105"/>
            <w:sz w:val="21"/>
            <w:u w:val="thick" w:color="414242"/>
          </w:rPr>
          <w:t>https://www.border.gov.au/Busi/lmpo/Pro</w:t>
        </w:r>
      </w:hyperlink>
      <w:r>
        <w:rPr>
          <w:color w:val="344D80"/>
          <w:w w:val="105"/>
          <w:sz w:val="21"/>
          <w:u w:val="thick" w:color="414242"/>
        </w:rPr>
        <w:t>h</w:t>
      </w:r>
      <w:r>
        <w:rPr>
          <w:color w:val="344D80"/>
          <w:spacing w:val="32"/>
          <w:w w:val="105"/>
          <w:sz w:val="21"/>
        </w:rPr>
        <w:t> </w:t>
      </w:r>
      <w:r>
        <w:rPr>
          <w:color w:val="414242"/>
          <w:w w:val="105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  <w:tab w:pos="866" w:val="left" w:leader="none"/>
        </w:tabs>
        <w:spacing w:line="290" w:lineRule="auto" w:before="16" w:after="0"/>
        <w:ind w:left="868" w:right="744" w:hanging="362"/>
        <w:jc w:val="left"/>
        <w:rPr>
          <w:sz w:val="21"/>
        </w:rPr>
      </w:pPr>
      <w:r>
        <w:rPr>
          <w:color w:val="313333"/>
          <w:w w:val="105"/>
          <w:sz w:val="21"/>
        </w:rPr>
        <w:t>Further</w:t>
      </w:r>
      <w:r>
        <w:rPr>
          <w:color w:val="313333"/>
          <w:spacing w:val="-3"/>
          <w:w w:val="105"/>
          <w:sz w:val="21"/>
        </w:rPr>
        <w:t> </w:t>
      </w:r>
      <w:r>
        <w:rPr>
          <w:color w:val="313333"/>
          <w:w w:val="105"/>
          <w:sz w:val="21"/>
        </w:rPr>
        <w:t>information</w:t>
      </w:r>
      <w:r>
        <w:rPr>
          <w:color w:val="313333"/>
          <w:spacing w:val="2"/>
          <w:w w:val="105"/>
          <w:sz w:val="21"/>
        </w:rPr>
        <w:t> </w:t>
      </w:r>
      <w:r>
        <w:rPr>
          <w:color w:val="313333"/>
          <w:w w:val="105"/>
          <w:sz w:val="21"/>
        </w:rPr>
        <w:t>about</w:t>
      </w:r>
      <w:r>
        <w:rPr>
          <w:color w:val="313333"/>
          <w:spacing w:val="-6"/>
          <w:w w:val="105"/>
          <w:sz w:val="21"/>
        </w:rPr>
        <w:t> </w:t>
      </w:r>
      <w:r>
        <w:rPr>
          <w:color w:val="313333"/>
          <w:w w:val="105"/>
          <w:sz w:val="21"/>
        </w:rPr>
        <w:t>signal</w:t>
      </w:r>
      <w:r>
        <w:rPr>
          <w:color w:val="313333"/>
          <w:spacing w:val="-9"/>
          <w:w w:val="105"/>
          <w:sz w:val="21"/>
        </w:rPr>
        <w:t> </w:t>
      </w:r>
      <w:r>
        <w:rPr>
          <w:color w:val="313333"/>
          <w:w w:val="105"/>
          <w:sz w:val="21"/>
        </w:rPr>
        <w:t>jamming</w:t>
      </w:r>
      <w:r>
        <w:rPr>
          <w:color w:val="313333"/>
          <w:spacing w:val="2"/>
          <w:w w:val="105"/>
          <w:sz w:val="21"/>
        </w:rPr>
        <w:t> </w:t>
      </w:r>
      <w:r>
        <w:rPr>
          <w:color w:val="313333"/>
          <w:w w:val="105"/>
          <w:sz w:val="21"/>
        </w:rPr>
        <w:t>devices can</w:t>
      </w:r>
      <w:r>
        <w:rPr>
          <w:color w:val="313333"/>
          <w:spacing w:val="-10"/>
          <w:w w:val="105"/>
          <w:sz w:val="21"/>
        </w:rPr>
        <w:t> </w:t>
      </w:r>
      <w:r>
        <w:rPr>
          <w:color w:val="313333"/>
          <w:w w:val="105"/>
          <w:sz w:val="21"/>
        </w:rPr>
        <w:t>be</w:t>
      </w:r>
      <w:r>
        <w:rPr>
          <w:color w:val="313333"/>
          <w:spacing w:val="-10"/>
          <w:w w:val="105"/>
          <w:sz w:val="21"/>
        </w:rPr>
        <w:t> </w:t>
      </w:r>
      <w:r>
        <w:rPr>
          <w:color w:val="313333"/>
          <w:w w:val="105"/>
          <w:sz w:val="21"/>
        </w:rPr>
        <w:t>obtained</w:t>
      </w:r>
      <w:r>
        <w:rPr>
          <w:color w:val="313333"/>
          <w:spacing w:val="-4"/>
          <w:w w:val="105"/>
          <w:sz w:val="21"/>
        </w:rPr>
        <w:t> </w:t>
      </w:r>
      <w:r>
        <w:rPr>
          <w:color w:val="313333"/>
          <w:w w:val="105"/>
          <w:sz w:val="21"/>
        </w:rPr>
        <w:t>at</w:t>
      </w:r>
      <w:r>
        <w:rPr>
          <w:color w:val="313333"/>
          <w:spacing w:val="-10"/>
          <w:w w:val="105"/>
          <w:sz w:val="21"/>
        </w:rPr>
        <w:t> </w:t>
      </w:r>
      <w:r>
        <w:rPr>
          <w:color w:val="313333"/>
          <w:w w:val="105"/>
          <w:sz w:val="21"/>
        </w:rPr>
        <w:t>ACMA's website</w:t>
      </w:r>
      <w:r>
        <w:rPr>
          <w:color w:val="344D80"/>
          <w:w w:val="105"/>
          <w:sz w:val="21"/>
          <w:u w:val="thick" w:color="414242"/>
        </w:rPr>
        <w:t> </w:t>
      </w:r>
      <w:hyperlink r:id="rId7">
        <w:r>
          <w:rPr>
            <w:color w:val="344D80"/>
            <w:w w:val="105"/>
            <w:sz w:val="21"/>
            <w:u w:val="thick" w:color="414242"/>
          </w:rPr>
          <w:t>www.acma.gov.au</w:t>
        </w:r>
        <w:r>
          <w:rPr>
            <w:color w:val="344D80"/>
            <w:spacing w:val="-34"/>
            <w:w w:val="105"/>
            <w:sz w:val="21"/>
          </w:rPr>
          <w:t> </w:t>
        </w:r>
      </w:hyperlink>
      <w:r>
        <w:rPr>
          <w:color w:val="414242"/>
          <w:w w:val="105"/>
          <w:sz w:val="21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1"/>
        <w:ind w:left="152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313333"/>
          <w:w w:val="130"/>
          <w:sz w:val="24"/>
        </w:rPr>
        <w:t>Christie@,k</w:t>
      </w:r>
    </w:p>
    <w:p>
      <w:pPr>
        <w:pStyle w:val="BodyText"/>
        <w:spacing w:line="288" w:lineRule="auto" w:before="49"/>
        <w:ind w:left="147" w:right="6965"/>
      </w:pPr>
      <w:r>
        <w:rPr>
          <w:color w:val="313333"/>
          <w:w w:val="105"/>
        </w:rPr>
        <w:t>A/g Assistant Secretary Trade and Customs Branch Canberra ACT</w:t>
      </w:r>
    </w:p>
    <w:p>
      <w:pPr>
        <w:pStyle w:val="BodyText"/>
        <w:spacing w:before="5"/>
        <w:ind w:left="152"/>
      </w:pPr>
      <w:r>
        <w:rPr>
          <w:color w:val="313333"/>
          <w:w w:val="105"/>
        </w:rPr>
        <w:t>9 May 2016</w:t>
      </w:r>
    </w:p>
    <w:sectPr>
      <w:type w:val="continuous"/>
      <w:pgSz w:w="11900" w:h="16840"/>
      <w:pgMar w:top="500" w:bottom="280" w:left="9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17" w:hanging="358"/>
      </w:pPr>
      <w:rPr>
        <w:rFonts w:hint="default" w:ascii="Arial" w:hAnsi="Arial" w:eastAsia="Arial" w:cs="Arial"/>
        <w:color w:val="313333"/>
        <w:w w:val="105"/>
        <w:sz w:val="21"/>
        <w:szCs w:val="21"/>
        <w:lang w:val="en-US" w:eastAsia="en-US" w:bidi="ar-SA"/>
      </w:rPr>
    </w:lvl>
    <w:lvl w:ilvl="1">
      <w:start w:val="0"/>
      <w:numFmt w:val="bullet"/>
      <w:lvlText w:val="o"/>
      <w:lvlJc w:val="left"/>
      <w:pPr>
        <w:ind w:left="1638" w:hanging="359"/>
      </w:pPr>
      <w:rPr>
        <w:rFonts w:hint="default" w:ascii="Arial" w:hAnsi="Arial" w:eastAsia="Arial" w:cs="Arial"/>
        <w:color w:val="414242"/>
        <w:w w:val="10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7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1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3"/>
      <w:ind w:left="490" w:right="340"/>
      <w:jc w:val="center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868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border.gov.au/Busi/lmpo/Proh" TargetMode="External"/><Relationship Id="rId7" Type="http://schemas.openxmlformats.org/officeDocument/2006/relationships/hyperlink" Target="http://www.acma.gov.au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</dc:creator>
  <cp:keywords>Signal Jammers, Import Prohibition</cp:keywords>
  <dc:subject>Import Prohibition</dc:subject>
  <dc:title>DEPARTMENT OF IMMIGRATION AND BORDER PROTECTION NOTICE No. 2016/15</dc:title>
  <dcterms:created xsi:type="dcterms:W3CDTF">2020-12-09T23:12:49Z</dcterms:created>
  <dcterms:modified xsi:type="dcterms:W3CDTF">2020-12-09T23:12:49Z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