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2133" w:right="1687"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2016/16</w:t>
      </w:r>
    </w:p>
    <w:p>
      <w:pPr>
        <w:pStyle w:val="BodyText"/>
        <w:spacing w:before="2"/>
        <w:rPr>
          <w:b/>
          <w:sz w:val="13"/>
        </w:rPr>
      </w:pPr>
    </w:p>
    <w:p>
      <w:pPr>
        <w:pStyle w:val="Heading1"/>
        <w:ind w:right="2142"/>
      </w:pPr>
      <w:r>
        <w:rPr/>
        <w:t>Approved course of study for a customs broker’s licence</w:t>
      </w:r>
    </w:p>
    <w:p>
      <w:pPr>
        <w:pStyle w:val="BodyText"/>
        <w:spacing w:before="9"/>
        <w:rPr>
          <w:b/>
          <w:sz w:val="24"/>
        </w:rPr>
      </w:pPr>
    </w:p>
    <w:p>
      <w:pPr>
        <w:pStyle w:val="BodyText"/>
        <w:spacing w:before="1"/>
        <w:ind w:left="720" w:right="787"/>
      </w:pPr>
      <w:r>
        <w:rPr/>
        <w:t>This Department of Immigration and Border Protection (DIBP) Notice provides information on the new course of study that will need to be completed by anyone wishing to apply for a customs broker’s licence.</w:t>
      </w:r>
    </w:p>
    <w:p>
      <w:pPr>
        <w:pStyle w:val="BodyText"/>
        <w:spacing w:before="121"/>
        <w:ind w:left="720" w:right="964"/>
      </w:pPr>
      <w:r>
        <w:rPr/>
        <w:t>This DIBP Notice supersedes Australian Customs and Border Protection Notice 2014/22 and other previous notices dealing with the approved course of study for a customs broker’s licence.</w:t>
      </w:r>
    </w:p>
    <w:p>
      <w:pPr>
        <w:pStyle w:val="BodyText"/>
        <w:spacing w:line="242" w:lineRule="auto" w:before="111"/>
        <w:ind w:left="720" w:right="728"/>
      </w:pPr>
      <w:r>
        <w:rPr/>
        <w:t>Section 183CC </w:t>
      </w:r>
      <w:r>
        <w:rPr>
          <w:spacing w:val="-4"/>
        </w:rPr>
        <w:t>of </w:t>
      </w:r>
      <w:r>
        <w:rPr/>
        <w:t>the </w:t>
      </w:r>
      <w:r>
        <w:rPr>
          <w:i/>
        </w:rPr>
        <w:t>Customs Act 1901 </w:t>
      </w:r>
      <w:r>
        <w:rPr/>
        <w:t>(the Act) requires the Comptroller-General </w:t>
      </w:r>
      <w:r>
        <w:rPr>
          <w:spacing w:val="-4"/>
        </w:rPr>
        <w:t>of </w:t>
      </w:r>
      <w:r>
        <w:rPr/>
        <w:t>Customs (Comptroller-General) to grant a broker’s licence only if, in his opinion, the applicant is a fit and proper person and is qualified to be a customs broker. A qualified customs broker, unless exempted by the Comptroller-General, completes an approved course of study or instruction and has acquired experience that fits them to be a customs</w:t>
      </w:r>
      <w:r>
        <w:rPr>
          <w:spacing w:val="-9"/>
        </w:rPr>
        <w:t> </w:t>
      </w:r>
      <w:r>
        <w:rPr/>
        <w:t>broker.</w:t>
      </w:r>
    </w:p>
    <w:p>
      <w:pPr>
        <w:pStyle w:val="BodyText"/>
        <w:spacing w:line="242" w:lineRule="auto" w:before="113"/>
        <w:ind w:left="720" w:right="776"/>
      </w:pPr>
      <w:r>
        <w:rPr/>
        <w:t>In 2015, a standard review </w:t>
      </w:r>
      <w:r>
        <w:rPr>
          <w:spacing w:val="-4"/>
        </w:rPr>
        <w:t>of </w:t>
      </w:r>
      <w:r>
        <w:rPr/>
        <w:t>the </w:t>
      </w:r>
      <w:r>
        <w:rPr>
          <w:i/>
        </w:rPr>
        <w:t>Diploma of Customs Broking TLI50813 </w:t>
      </w:r>
      <w:r>
        <w:rPr/>
        <w:t>was undertaken by the Australian Industry Standards. As a result </w:t>
      </w:r>
      <w:r>
        <w:rPr>
          <w:spacing w:val="-4"/>
        </w:rPr>
        <w:t>of </w:t>
      </w:r>
      <w:r>
        <w:rPr/>
        <w:t>that review, certain units that form the approved course </w:t>
      </w:r>
      <w:r>
        <w:rPr>
          <w:spacing w:val="-4"/>
        </w:rPr>
        <w:t>of </w:t>
      </w:r>
      <w:r>
        <w:rPr/>
        <w:t>study have now been re-named as part of the Training Package Review. The content </w:t>
      </w:r>
      <w:r>
        <w:rPr>
          <w:spacing w:val="-4"/>
        </w:rPr>
        <w:t>of </w:t>
      </w:r>
      <w:r>
        <w:rPr/>
        <w:t>the newly named units has remained effectively the same and the quantum </w:t>
      </w:r>
      <w:r>
        <w:rPr>
          <w:spacing w:val="-4"/>
        </w:rPr>
        <w:t>of </w:t>
      </w:r>
      <w:r>
        <w:rPr/>
        <w:t>units comprising the approved course of study (18) is</w:t>
      </w:r>
      <w:r>
        <w:rPr>
          <w:spacing w:val="4"/>
        </w:rPr>
        <w:t> </w:t>
      </w:r>
      <w:r>
        <w:rPr/>
        <w:t>unchanged.</w:t>
      </w:r>
    </w:p>
    <w:p>
      <w:pPr>
        <w:pStyle w:val="BodyText"/>
        <w:spacing w:before="118"/>
        <w:ind w:left="720" w:right="931"/>
      </w:pPr>
      <w:r>
        <w:rPr/>
        <w:t>As a result of those changes, the Comptroller-General has approved a new course of study for a customs broker’s licence. The new course of study is the </w:t>
      </w:r>
      <w:r>
        <w:rPr>
          <w:i/>
        </w:rPr>
        <w:t>Diploma of Customs Broking TLI50816</w:t>
      </w:r>
      <w:r>
        <w:rPr/>
        <w:t>. Details of the Diploma, including the units of study that comprise the Diploma, are available at: </w:t>
      </w:r>
      <w:hyperlink r:id="rId6">
        <w:r>
          <w:rPr>
            <w:color w:val="0000FF"/>
            <w:u w:val="single" w:color="0000FF"/>
          </w:rPr>
          <w:t>https://training.gov.au/Training/Details/TLI50816</w:t>
        </w:r>
      </w:hyperlink>
      <w:r>
        <w:rPr/>
        <w:t>.</w:t>
      </w:r>
    </w:p>
    <w:p>
      <w:pPr>
        <w:pStyle w:val="BodyText"/>
        <w:spacing w:before="121"/>
        <w:ind w:left="720"/>
      </w:pPr>
      <w:r>
        <w:rPr/>
        <w:t>Some of the units that were amended include:</w:t>
      </w:r>
    </w:p>
    <w:p>
      <w:pPr>
        <w:pStyle w:val="ListParagraph"/>
        <w:numPr>
          <w:ilvl w:val="0"/>
          <w:numId w:val="1"/>
        </w:numPr>
        <w:tabs>
          <w:tab w:pos="1440" w:val="left" w:leader="none"/>
          <w:tab w:pos="1441" w:val="left" w:leader="none"/>
        </w:tabs>
        <w:spacing w:line="240" w:lineRule="auto" w:before="116" w:after="0"/>
        <w:ind w:left="1440" w:right="1244" w:hanging="360"/>
        <w:jc w:val="left"/>
        <w:rPr>
          <w:sz w:val="20"/>
        </w:rPr>
      </w:pPr>
      <w:r>
        <w:rPr>
          <w:sz w:val="20"/>
        </w:rPr>
        <w:t>TLIX0001 Determine tariff classification </w:t>
      </w:r>
      <w:r>
        <w:rPr>
          <w:spacing w:val="-4"/>
          <w:sz w:val="20"/>
        </w:rPr>
        <w:t>of </w:t>
      </w:r>
      <w:r>
        <w:rPr>
          <w:sz w:val="20"/>
        </w:rPr>
        <w:t>goods (previously TLIX5051A Determine tariff classification </w:t>
      </w:r>
      <w:r>
        <w:rPr>
          <w:spacing w:val="-4"/>
          <w:sz w:val="20"/>
        </w:rPr>
        <w:t>of </w:t>
      </w:r>
      <w:r>
        <w:rPr>
          <w:sz w:val="20"/>
        </w:rPr>
        <w:t>goods);</w:t>
      </w:r>
    </w:p>
    <w:p>
      <w:pPr>
        <w:pStyle w:val="ListParagraph"/>
        <w:numPr>
          <w:ilvl w:val="0"/>
          <w:numId w:val="1"/>
        </w:numPr>
        <w:tabs>
          <w:tab w:pos="1440" w:val="left" w:leader="none"/>
          <w:tab w:pos="1441" w:val="left" w:leader="none"/>
        </w:tabs>
        <w:spacing w:line="240" w:lineRule="auto" w:before="1" w:after="0"/>
        <w:ind w:left="1440" w:right="1731" w:hanging="360"/>
        <w:jc w:val="left"/>
        <w:rPr>
          <w:sz w:val="20"/>
        </w:rPr>
      </w:pPr>
      <w:r>
        <w:rPr>
          <w:sz w:val="20"/>
        </w:rPr>
        <w:t>TLIX0002 Initiate cargo border procedures (previously TLIX5057A Prepare documents for customs clearance);</w:t>
      </w:r>
      <w:r>
        <w:rPr>
          <w:spacing w:val="3"/>
          <w:sz w:val="20"/>
        </w:rPr>
        <w:t> </w:t>
      </w:r>
      <w:r>
        <w:rPr>
          <w:sz w:val="20"/>
        </w:rPr>
        <w:t>and</w:t>
      </w:r>
    </w:p>
    <w:p>
      <w:pPr>
        <w:pStyle w:val="ListParagraph"/>
        <w:numPr>
          <w:ilvl w:val="0"/>
          <w:numId w:val="1"/>
        </w:numPr>
        <w:tabs>
          <w:tab w:pos="1440" w:val="left" w:leader="none"/>
          <w:tab w:pos="1441" w:val="left" w:leader="none"/>
        </w:tabs>
        <w:spacing w:line="240" w:lineRule="auto" w:before="0" w:after="0"/>
        <w:ind w:left="1440" w:right="842" w:hanging="360"/>
        <w:jc w:val="left"/>
        <w:rPr>
          <w:sz w:val="20"/>
        </w:rPr>
      </w:pPr>
      <w:r>
        <w:rPr>
          <w:sz w:val="20"/>
        </w:rPr>
        <w:t>TLIX0003 Conduct advanced border clearance functions (previously TLIX5059A Undertake border clearance functions).</w:t>
      </w:r>
    </w:p>
    <w:p>
      <w:pPr>
        <w:pStyle w:val="BodyText"/>
        <w:spacing w:before="122"/>
        <w:ind w:left="720" w:right="1330"/>
      </w:pPr>
      <w:r>
        <w:rPr/>
        <w:t>The changes include title changes to the units of competency, elements and performance criteria and a general rewrite of the unit to reflect current practices.</w:t>
      </w:r>
    </w:p>
    <w:p>
      <w:pPr>
        <w:pStyle w:val="BodyText"/>
        <w:spacing w:before="116"/>
        <w:ind w:left="720" w:right="887"/>
      </w:pPr>
      <w:r>
        <w:rPr/>
        <w:t>For people undertaking the previous </w:t>
      </w:r>
      <w:r>
        <w:rPr>
          <w:i/>
        </w:rPr>
        <w:t>Diploma of Customs Broking TLI50813</w:t>
      </w:r>
      <w:r>
        <w:rPr/>
        <w:t>, Registered Training Organisations (RTOs) will allow students to finish and be awarded the qualification if they have remained enrolled and have completed all course requirements within the two year completion period for the Diploma. For students who have not completed the necessary course requirements within the two year completion period, RTOs will assist to transition them to complete the new </w:t>
      </w:r>
      <w:r>
        <w:rPr>
          <w:i/>
        </w:rPr>
        <w:t>Diploma of Customs Broking TLI50816</w:t>
      </w:r>
      <w:r>
        <w:rPr/>
        <w:t>.</w:t>
      </w:r>
    </w:p>
    <w:p>
      <w:pPr>
        <w:pStyle w:val="BodyText"/>
        <w:spacing w:before="122"/>
        <w:ind w:left="720" w:right="886"/>
      </w:pPr>
      <w:r>
        <w:rPr/>
        <w:t>People who have completed a former approved course of study, should talk to their RTO for further advice regarding recognition of their prior study.</w:t>
      </w:r>
    </w:p>
    <w:p>
      <w:pPr>
        <w:pStyle w:val="BodyText"/>
        <w:spacing w:before="121"/>
        <w:ind w:left="720"/>
      </w:pPr>
      <w:r>
        <w:rPr/>
        <w:t>Enquiries concerning this DIBP Notice should be directed to Broker Licensing on telephone number</w:t>
      </w:r>
    </w:p>
    <w:p>
      <w:pPr>
        <w:pStyle w:val="BodyText"/>
        <w:spacing w:before="1"/>
        <w:ind w:left="720"/>
      </w:pPr>
      <w:r>
        <w:rPr/>
        <w:t>(02) 6275 5784 or by email at</w:t>
      </w:r>
      <w:r>
        <w:rPr>
          <w:color w:val="0000FF"/>
        </w:rPr>
        <w:t> </w:t>
      </w:r>
      <w:hyperlink r:id="rId7">
        <w:r>
          <w:rPr>
            <w:color w:val="0000FF"/>
            <w:u w:val="single" w:color="0000FF"/>
          </w:rPr>
          <w:t>brokers.licensing@border.gov.au</w:t>
        </w:r>
        <w:r>
          <w:rPr/>
          <w:t>.</w:t>
        </w:r>
      </w:hyperlink>
    </w:p>
    <w:p>
      <w:pPr>
        <w:pStyle w:val="BodyText"/>
      </w:pPr>
    </w:p>
    <w:p>
      <w:pPr>
        <w:pStyle w:val="BodyText"/>
        <w:spacing w:before="11"/>
      </w:pPr>
    </w:p>
    <w:p>
      <w:pPr>
        <w:pStyle w:val="BodyText"/>
        <w:ind w:left="720"/>
      </w:pPr>
      <w:r>
        <w:rPr/>
        <w:t>[signed]</w:t>
      </w:r>
    </w:p>
    <w:p>
      <w:pPr>
        <w:pStyle w:val="BodyText"/>
        <w:rPr>
          <w:sz w:val="22"/>
        </w:rPr>
      </w:pPr>
    </w:p>
    <w:p>
      <w:pPr>
        <w:pStyle w:val="BodyText"/>
        <w:spacing w:before="6"/>
        <w:rPr>
          <w:sz w:val="28"/>
        </w:rPr>
      </w:pPr>
    </w:p>
    <w:p>
      <w:pPr>
        <w:pStyle w:val="BodyText"/>
        <w:ind w:left="720" w:right="9603"/>
      </w:pPr>
      <w:r>
        <w:rPr/>
        <w:t>Suzie </w:t>
      </w:r>
      <w:r>
        <w:rPr>
          <w:spacing w:val="-3"/>
        </w:rPr>
        <w:t>Nermutova </w:t>
      </w:r>
      <w:r>
        <w:rPr/>
        <w:t>Director</w:t>
      </w:r>
    </w:p>
    <w:p>
      <w:pPr>
        <w:pStyle w:val="BodyText"/>
        <w:ind w:left="720" w:right="9603"/>
      </w:pPr>
      <w:r>
        <w:rPr/>
        <w:t>Ports Policy CANBERRA ACT 29 June 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40" w:hanging="360"/>
      </w:pPr>
      <w:rPr>
        <w:rFonts w:hint="default" w:ascii="Arial" w:hAnsi="Arial" w:eastAsia="Arial" w:cs="Arial"/>
        <w:w w:val="100"/>
        <w:sz w:val="20"/>
        <w:szCs w:val="20"/>
        <w:lang w:val="en-au" w:eastAsia="en-US" w:bidi="ar-SA"/>
      </w:rPr>
    </w:lvl>
    <w:lvl w:ilvl="1">
      <w:start w:val="0"/>
      <w:numFmt w:val="bullet"/>
      <w:lvlText w:val="•"/>
      <w:lvlJc w:val="left"/>
      <w:pPr>
        <w:ind w:left="2486" w:hanging="360"/>
      </w:pPr>
      <w:rPr>
        <w:rFonts w:hint="default"/>
        <w:lang w:val="en-au" w:eastAsia="en-US" w:bidi="ar-SA"/>
      </w:rPr>
    </w:lvl>
    <w:lvl w:ilvl="2">
      <w:start w:val="0"/>
      <w:numFmt w:val="bullet"/>
      <w:lvlText w:val="•"/>
      <w:lvlJc w:val="left"/>
      <w:pPr>
        <w:ind w:left="3532" w:hanging="360"/>
      </w:pPr>
      <w:rPr>
        <w:rFonts w:hint="default"/>
        <w:lang w:val="en-au" w:eastAsia="en-US" w:bidi="ar-SA"/>
      </w:rPr>
    </w:lvl>
    <w:lvl w:ilvl="3">
      <w:start w:val="0"/>
      <w:numFmt w:val="bullet"/>
      <w:lvlText w:val="•"/>
      <w:lvlJc w:val="left"/>
      <w:pPr>
        <w:ind w:left="4579" w:hanging="360"/>
      </w:pPr>
      <w:rPr>
        <w:rFonts w:hint="default"/>
        <w:lang w:val="en-au" w:eastAsia="en-US" w:bidi="ar-SA"/>
      </w:rPr>
    </w:lvl>
    <w:lvl w:ilvl="4">
      <w:start w:val="0"/>
      <w:numFmt w:val="bullet"/>
      <w:lvlText w:val="•"/>
      <w:lvlJc w:val="left"/>
      <w:pPr>
        <w:ind w:left="5625" w:hanging="360"/>
      </w:pPr>
      <w:rPr>
        <w:rFonts w:hint="default"/>
        <w:lang w:val="en-au" w:eastAsia="en-US" w:bidi="ar-SA"/>
      </w:rPr>
    </w:lvl>
    <w:lvl w:ilvl="5">
      <w:start w:val="0"/>
      <w:numFmt w:val="bullet"/>
      <w:lvlText w:val="•"/>
      <w:lvlJc w:val="left"/>
      <w:pPr>
        <w:ind w:left="6672" w:hanging="360"/>
      </w:pPr>
      <w:rPr>
        <w:rFonts w:hint="default"/>
        <w:lang w:val="en-au" w:eastAsia="en-US" w:bidi="ar-SA"/>
      </w:rPr>
    </w:lvl>
    <w:lvl w:ilvl="6">
      <w:start w:val="0"/>
      <w:numFmt w:val="bullet"/>
      <w:lvlText w:val="•"/>
      <w:lvlJc w:val="left"/>
      <w:pPr>
        <w:ind w:left="7718" w:hanging="360"/>
      </w:pPr>
      <w:rPr>
        <w:rFonts w:hint="default"/>
        <w:lang w:val="en-au" w:eastAsia="en-US" w:bidi="ar-SA"/>
      </w:rPr>
    </w:lvl>
    <w:lvl w:ilvl="7">
      <w:start w:val="0"/>
      <w:numFmt w:val="bullet"/>
      <w:lvlText w:val="•"/>
      <w:lvlJc w:val="left"/>
      <w:pPr>
        <w:ind w:left="8764" w:hanging="360"/>
      </w:pPr>
      <w:rPr>
        <w:rFonts w:hint="default"/>
        <w:lang w:val="en-au" w:eastAsia="en-US" w:bidi="ar-SA"/>
      </w:rPr>
    </w:lvl>
    <w:lvl w:ilvl="8">
      <w:start w:val="0"/>
      <w:numFmt w:val="bullet"/>
      <w:lvlText w:val="•"/>
      <w:lvlJc w:val="left"/>
      <w:pPr>
        <w:ind w:left="9811"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2133"/>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ind w:left="1440" w:right="842"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training.gov.au/Training/Details/TLI50816" TargetMode="External"/><Relationship Id="rId7" Type="http://schemas.openxmlformats.org/officeDocument/2006/relationships/hyperlink" Target="mailto:brokers.licensing@border.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Custom notice 2016/16</cp:keywords>
  <dc:title>Approved course of study for a customs broker’s licence</dc:title>
  <dcterms:created xsi:type="dcterms:W3CDTF">2020-12-09T23:08:50Z</dcterms:created>
  <dcterms:modified xsi:type="dcterms:W3CDTF">2020-12-09T23:08:50Z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2016-06-29T00:00:00Z</vt:filetime>
  </property>
  <property fmtid="{D5CDD505-2E9C-101B-9397-08002B2CF9AE}" pid="3" name="LastSaved">
    <vt:filetime>2020-12-09T00:00:00Z</vt:filetime>
  </property>
</Properties>
</file>