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3"/>
        </w:rPr>
      </w:pPr>
      <w:r>
        <w:rPr/>
        <w:pict>
          <v:line style="position:absolute;mso-position-horizontal-relative:page;mso-position-vertical-relative:page;z-index:-15799296" from="47.119072pt,111.978127pt" to="581.776307pt,111.978127pt" stroked="true" strokeweight="8.170078pt" strokecolor="#000000">
            <v:stroke dashstyle="solid"/>
            <w10:wrap type="none"/>
          </v:line>
        </w:pict>
      </w:r>
    </w:p>
    <w:p>
      <w:pPr>
        <w:spacing w:before="92"/>
        <w:ind w:left="1765" w:right="0" w:firstLine="0"/>
        <w:jc w:val="left"/>
        <w:rPr>
          <w:rFonts w:ascii="Times New Roman"/>
          <w:b/>
          <w:sz w:val="20"/>
        </w:rPr>
      </w:pPr>
      <w:r>
        <w:rPr/>
        <w:drawing>
          <wp:anchor distT="0" distB="0" distL="0" distR="0" allowOverlap="1" layoutInCell="1" locked="0" behindDoc="0" simplePos="0" relativeHeight="15729664">
            <wp:simplePos x="0" y="0"/>
            <wp:positionH relativeFrom="page">
              <wp:posOffset>1062486</wp:posOffset>
            </wp:positionH>
            <wp:positionV relativeFrom="paragraph">
              <wp:posOffset>-100724</wp:posOffset>
            </wp:positionV>
            <wp:extent cx="757174" cy="56152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7174" cy="561524"/>
                    </a:xfrm>
                    <a:prstGeom prst="rect">
                      <a:avLst/>
                    </a:prstGeom>
                  </pic:spPr>
                </pic:pic>
              </a:graphicData>
            </a:graphic>
          </wp:anchor>
        </w:drawing>
      </w:r>
      <w:bookmarkStart w:name="Page 1" w:id="1"/>
      <w:bookmarkEnd w:id="1"/>
      <w:r>
        <w:rPr/>
      </w:r>
      <w:r>
        <w:rPr>
          <w:rFonts w:ascii="Times New Roman"/>
          <w:b/>
          <w:color w:val="2B2D2D"/>
          <w:w w:val="105"/>
          <w:sz w:val="20"/>
          <w:u w:val="thick" w:color="2B2D2D"/>
        </w:rPr>
        <w:t>Australian Government</w:t>
      </w:r>
    </w:p>
    <w:p>
      <w:pPr>
        <w:spacing w:before="130"/>
        <w:ind w:left="1748" w:right="5215" w:firstLine="6"/>
        <w:jc w:val="left"/>
        <w:rPr>
          <w:rFonts w:ascii="Times New Roman"/>
          <w:b/>
          <w:sz w:val="20"/>
        </w:rPr>
      </w:pPr>
      <w:r>
        <w:rPr>
          <w:rFonts w:ascii="Times New Roman"/>
          <w:b/>
          <w:color w:val="2B2D2D"/>
          <w:sz w:val="20"/>
        </w:rPr>
        <w:t>Department of Immigration and Border Protection</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7"/>
        <w:rPr>
          <w:rFonts w:ascii="Times New Roman"/>
          <w:b/>
          <w:sz w:val="24"/>
        </w:rPr>
      </w:pPr>
    </w:p>
    <w:p>
      <w:pPr>
        <w:pStyle w:val="Title"/>
        <w:spacing w:line="249" w:lineRule="auto"/>
        <w:ind w:left="4267"/>
      </w:pPr>
      <w:r>
        <w:rPr>
          <w:color w:val="2B2D2D"/>
        </w:rPr>
        <w:t>DEPARTMENT OF IMMIGRATION AND BORDER PROTECTION NOTICE</w:t>
      </w:r>
    </w:p>
    <w:p>
      <w:pPr>
        <w:pStyle w:val="Title"/>
        <w:spacing w:before="200"/>
        <w:ind w:right="2337" w:firstLine="0"/>
        <w:jc w:val="center"/>
      </w:pPr>
      <w:r>
        <w:rPr/>
        <w:pict>
          <v:shape style="position:absolute;margin-left:106.73912pt;margin-top:29.871666pt;width:405.85pt;height:.1pt;mso-position-horizontal-relative:page;mso-position-vertical-relative:paragraph;z-index:-15728640;mso-wrap-distance-left:0;mso-wrap-distance-right:0" coordorigin="2135,597" coordsize="8117,0" path="m2135,597l10251,597e" filled="false" stroked="true" strokeweight=".240296pt" strokecolor="#000000">
            <v:path arrowok="t"/>
            <v:stroke dashstyle="solid"/>
            <w10:wrap type="topAndBottom"/>
          </v:shape>
        </w:pict>
      </w:r>
      <w:r>
        <w:rPr>
          <w:color w:val="2B2D2D"/>
        </w:rPr>
        <w:t>No.2016/24</w:t>
      </w:r>
    </w:p>
    <w:p>
      <w:pPr>
        <w:pStyle w:val="BodyText"/>
        <w:spacing w:before="6"/>
        <w:rPr>
          <w:b/>
          <w:sz w:val="14"/>
        </w:rPr>
      </w:pPr>
    </w:p>
    <w:p>
      <w:pPr>
        <w:pStyle w:val="Heading1"/>
        <w:spacing w:before="94"/>
        <w:ind w:left="2676" w:right="2789"/>
        <w:jc w:val="center"/>
      </w:pPr>
      <w:r>
        <w:rPr>
          <w:color w:val="2B2D2D"/>
          <w:w w:val="105"/>
        </w:rPr>
        <w:t>PROCESSING REFUND APPLICATIONS</w:t>
      </w:r>
    </w:p>
    <w:p>
      <w:pPr>
        <w:spacing w:before="133"/>
        <w:ind w:left="141" w:right="0" w:firstLine="0"/>
        <w:jc w:val="left"/>
        <w:rPr>
          <w:b/>
          <w:sz w:val="21"/>
        </w:rPr>
      </w:pPr>
      <w:r>
        <w:rPr>
          <w:b/>
          <w:color w:val="2B2D2D"/>
          <w:sz w:val="21"/>
        </w:rPr>
        <w:t>Purpose</w:t>
      </w:r>
    </w:p>
    <w:p>
      <w:pPr>
        <w:pStyle w:val="BodyText"/>
        <w:spacing w:before="2"/>
        <w:rPr>
          <w:b/>
          <w:sz w:val="15"/>
        </w:rPr>
      </w:pPr>
    </w:p>
    <w:p>
      <w:pPr>
        <w:pStyle w:val="BodyText"/>
        <w:spacing w:line="252" w:lineRule="auto" w:before="94"/>
        <w:ind w:left="137" w:right="387" w:hanging="1"/>
      </w:pPr>
      <w:r>
        <w:rPr>
          <w:color w:val="2B2D2D"/>
          <w:w w:val="105"/>
        </w:rPr>
        <w:t>To articulate the Department of Immigration and Border Protection's (the Department's) policy position regarding the timely processing of duty refund applications.</w:t>
      </w:r>
    </w:p>
    <w:p>
      <w:pPr>
        <w:pStyle w:val="BodyText"/>
        <w:spacing w:before="6"/>
      </w:pPr>
    </w:p>
    <w:p>
      <w:pPr>
        <w:pStyle w:val="Heading1"/>
      </w:pPr>
      <w:r>
        <w:rPr>
          <w:color w:val="2B2D2D"/>
          <w:w w:val="105"/>
        </w:rPr>
        <w:t>Policy</w:t>
      </w:r>
    </w:p>
    <w:p>
      <w:pPr>
        <w:pStyle w:val="BodyText"/>
        <w:spacing w:before="3"/>
        <w:rPr>
          <w:b/>
          <w:sz w:val="23"/>
        </w:rPr>
      </w:pPr>
    </w:p>
    <w:p>
      <w:pPr>
        <w:pStyle w:val="BodyText"/>
        <w:spacing w:line="252" w:lineRule="auto"/>
        <w:ind w:left="134" w:right="521" w:firstLine="3"/>
      </w:pPr>
      <w:r>
        <w:rPr>
          <w:color w:val="2B2D2D"/>
          <w:w w:val="105"/>
        </w:rPr>
        <w:t>An owner or an authorised agent acting on behalf of the owner may apply for a refund electronically through the Integrated Cargo System or by submitting a completed and signed Form B653 - Refund Application.</w:t>
      </w:r>
    </w:p>
    <w:p>
      <w:pPr>
        <w:pStyle w:val="BodyText"/>
        <w:spacing w:before="5"/>
        <w:rPr>
          <w:sz w:val="22"/>
        </w:rPr>
      </w:pPr>
    </w:p>
    <w:p>
      <w:pPr>
        <w:pStyle w:val="BodyText"/>
        <w:spacing w:line="252" w:lineRule="auto"/>
        <w:ind w:left="130" w:right="63" w:firstLine="2"/>
      </w:pPr>
      <w:r>
        <w:rPr>
          <w:color w:val="2B2D2D"/>
          <w:w w:val="105"/>
        </w:rPr>
        <w:t>The</w:t>
      </w:r>
      <w:r>
        <w:rPr>
          <w:color w:val="2B2D2D"/>
          <w:spacing w:val="-16"/>
          <w:w w:val="105"/>
        </w:rPr>
        <w:t> </w:t>
      </w:r>
      <w:r>
        <w:rPr>
          <w:color w:val="2B2D2D"/>
          <w:w w:val="105"/>
        </w:rPr>
        <w:t>Department</w:t>
      </w:r>
      <w:r>
        <w:rPr>
          <w:color w:val="2B2D2D"/>
          <w:spacing w:val="-1"/>
          <w:w w:val="105"/>
        </w:rPr>
        <w:t> </w:t>
      </w:r>
      <w:r>
        <w:rPr>
          <w:color w:val="2B2D2D"/>
          <w:w w:val="105"/>
        </w:rPr>
        <w:t>must</w:t>
      </w:r>
      <w:r>
        <w:rPr>
          <w:color w:val="2B2D2D"/>
          <w:spacing w:val="-10"/>
          <w:w w:val="105"/>
        </w:rPr>
        <w:t> </w:t>
      </w:r>
      <w:r>
        <w:rPr>
          <w:color w:val="2B2D2D"/>
          <w:w w:val="105"/>
        </w:rPr>
        <w:t>satisfy</w:t>
      </w:r>
      <w:r>
        <w:rPr>
          <w:color w:val="2B2D2D"/>
          <w:spacing w:val="-6"/>
          <w:w w:val="105"/>
        </w:rPr>
        <w:t> </w:t>
      </w:r>
      <w:r>
        <w:rPr>
          <w:color w:val="2B2D2D"/>
          <w:w w:val="105"/>
        </w:rPr>
        <w:t>itself</w:t>
      </w:r>
      <w:r>
        <w:rPr>
          <w:color w:val="2B2D2D"/>
          <w:spacing w:val="-11"/>
          <w:w w:val="105"/>
        </w:rPr>
        <w:t> </w:t>
      </w:r>
      <w:r>
        <w:rPr>
          <w:color w:val="2B2D2D"/>
          <w:w w:val="105"/>
        </w:rPr>
        <w:t>that</w:t>
      </w:r>
      <w:r>
        <w:rPr>
          <w:color w:val="2B2D2D"/>
          <w:spacing w:val="-7"/>
          <w:w w:val="105"/>
        </w:rPr>
        <w:t> </w:t>
      </w:r>
      <w:r>
        <w:rPr>
          <w:color w:val="2B2D2D"/>
          <w:w w:val="105"/>
        </w:rPr>
        <w:t>a</w:t>
      </w:r>
      <w:r>
        <w:rPr>
          <w:color w:val="2B2D2D"/>
          <w:spacing w:val="-14"/>
          <w:w w:val="105"/>
        </w:rPr>
        <w:t> </w:t>
      </w:r>
      <w:r>
        <w:rPr>
          <w:color w:val="2B2D2D"/>
          <w:w w:val="105"/>
        </w:rPr>
        <w:t>refund</w:t>
      </w:r>
      <w:r>
        <w:rPr>
          <w:color w:val="2B2D2D"/>
          <w:spacing w:val="-7"/>
          <w:w w:val="105"/>
        </w:rPr>
        <w:t> </w:t>
      </w:r>
      <w:r>
        <w:rPr>
          <w:color w:val="2B2D2D"/>
          <w:w w:val="105"/>
        </w:rPr>
        <w:t>application meets</w:t>
      </w:r>
      <w:r>
        <w:rPr>
          <w:color w:val="2B2D2D"/>
          <w:spacing w:val="-7"/>
          <w:w w:val="105"/>
        </w:rPr>
        <w:t> </w:t>
      </w:r>
      <w:r>
        <w:rPr>
          <w:color w:val="2B2D2D"/>
          <w:w w:val="105"/>
        </w:rPr>
        <w:t>all</w:t>
      </w:r>
      <w:r>
        <w:rPr>
          <w:color w:val="2B2D2D"/>
          <w:spacing w:val="-12"/>
          <w:w w:val="105"/>
        </w:rPr>
        <w:t> </w:t>
      </w:r>
      <w:r>
        <w:rPr>
          <w:color w:val="2B2D2D"/>
          <w:w w:val="105"/>
        </w:rPr>
        <w:t>of</w:t>
      </w:r>
      <w:r>
        <w:rPr>
          <w:color w:val="2B2D2D"/>
          <w:spacing w:val="-15"/>
          <w:w w:val="105"/>
        </w:rPr>
        <w:t> </w:t>
      </w:r>
      <w:r>
        <w:rPr>
          <w:color w:val="2B2D2D"/>
          <w:w w:val="105"/>
        </w:rPr>
        <w:t>the</w:t>
      </w:r>
      <w:r>
        <w:rPr>
          <w:color w:val="2B2D2D"/>
          <w:spacing w:val="-11"/>
          <w:w w:val="105"/>
        </w:rPr>
        <w:t> </w:t>
      </w:r>
      <w:r>
        <w:rPr>
          <w:color w:val="2B2D2D"/>
          <w:w w:val="105"/>
        </w:rPr>
        <w:t>relevant requirements before a refund is approved. This may include requesting additional information from the owner as part of an assessment of the refund application. The approval of a refund application may be delayed if, without this additional information, the Department is unable to satisfy itself that the refund application meets the relevant</w:t>
      </w:r>
      <w:r>
        <w:rPr>
          <w:color w:val="2B2D2D"/>
          <w:spacing w:val="46"/>
          <w:w w:val="105"/>
        </w:rPr>
        <w:t> </w:t>
      </w:r>
      <w:r>
        <w:rPr>
          <w:color w:val="2B2D2D"/>
          <w:w w:val="105"/>
        </w:rPr>
        <w:t>requirements.</w:t>
      </w:r>
    </w:p>
    <w:p>
      <w:pPr>
        <w:pStyle w:val="BodyText"/>
        <w:spacing w:before="10"/>
      </w:pPr>
    </w:p>
    <w:p>
      <w:pPr>
        <w:pStyle w:val="BodyText"/>
        <w:spacing w:line="252" w:lineRule="auto"/>
        <w:ind w:left="124" w:right="29" w:firstLine="3"/>
      </w:pPr>
      <w:r>
        <w:rPr>
          <w:color w:val="2B2D2D"/>
          <w:w w:val="105"/>
        </w:rPr>
        <w:t>At the same time, the Department may also request information about lines on an import declaration that are not part of the refund application. For example, without limiting the circumstances where the Department may request information, there may be circumstances where there are connections between lines on an import declaration, or changes to an import declaration that are so extensive that it is unclear what has been changed. In these circumstances, the Department may need to check and verify other lines on an import declaration to satisfy itself that a refund application meets the relevant requirements.</w:t>
      </w:r>
    </w:p>
    <w:p>
      <w:pPr>
        <w:pStyle w:val="BodyText"/>
        <w:spacing w:before="5"/>
        <w:rPr>
          <w:sz w:val="22"/>
        </w:rPr>
      </w:pPr>
    </w:p>
    <w:p>
      <w:pPr>
        <w:pStyle w:val="BodyText"/>
        <w:spacing w:line="247" w:lineRule="auto"/>
        <w:ind w:left="125" w:right="397" w:hanging="2"/>
      </w:pPr>
      <w:r>
        <w:rPr>
          <w:color w:val="2B2D2D"/>
          <w:w w:val="105"/>
        </w:rPr>
        <w:t>Approval and payment of the refund will not be withheld due to delays in receiving information about matters unrelated to the refund application.</w:t>
      </w:r>
    </w:p>
    <w:p>
      <w:pPr>
        <w:pStyle w:val="BodyText"/>
        <w:spacing w:before="9"/>
        <w:rPr>
          <w:sz w:val="22"/>
        </w:rPr>
      </w:pPr>
    </w:p>
    <w:p>
      <w:pPr>
        <w:pStyle w:val="BodyText"/>
        <w:spacing w:line="249" w:lineRule="auto"/>
        <w:ind w:left="120" w:right="351" w:firstLine="1"/>
      </w:pPr>
      <w:r>
        <w:rPr>
          <w:color w:val="2B2D2D"/>
          <w:w w:val="105"/>
        </w:rPr>
        <w:t>In circumstances where the person who lodges the refund application does not possess documents relating to the original import declaration, the person lodging the refund application should facilitate communication with the owner regarding any request for this information.</w:t>
      </w:r>
    </w:p>
    <w:p>
      <w:pPr>
        <w:pStyle w:val="BodyText"/>
        <w:spacing w:before="2"/>
        <w:rPr>
          <w:sz w:val="22"/>
        </w:rPr>
      </w:pPr>
    </w:p>
    <w:p>
      <w:pPr>
        <w:pStyle w:val="BodyText"/>
        <w:spacing w:line="252" w:lineRule="auto" w:before="1"/>
        <w:ind w:left="119" w:right="207" w:hanging="2"/>
      </w:pPr>
      <w:r>
        <w:rPr>
          <w:color w:val="2B2D2D"/>
          <w:w w:val="105"/>
        </w:rPr>
        <w:t>If information or documents unrelated to the refund application are requested, and not provided, consideration may be given to:</w:t>
      </w:r>
    </w:p>
    <w:p>
      <w:pPr>
        <w:pStyle w:val="ListParagraph"/>
        <w:numPr>
          <w:ilvl w:val="0"/>
          <w:numId w:val="1"/>
        </w:numPr>
        <w:tabs>
          <w:tab w:pos="892" w:val="left" w:leader="none"/>
          <w:tab w:pos="893" w:val="left" w:leader="none"/>
        </w:tabs>
        <w:spacing w:line="252" w:lineRule="auto" w:before="16" w:after="0"/>
        <w:ind w:left="893" w:right="1487" w:hanging="359"/>
        <w:jc w:val="left"/>
        <w:rPr>
          <w:sz w:val="21"/>
        </w:rPr>
      </w:pPr>
      <w:r>
        <w:rPr>
          <w:color w:val="2B2D2D"/>
          <w:w w:val="105"/>
          <w:sz w:val="21"/>
        </w:rPr>
        <w:t>issuing</w:t>
      </w:r>
      <w:r>
        <w:rPr>
          <w:color w:val="2B2D2D"/>
          <w:spacing w:val="-1"/>
          <w:w w:val="105"/>
          <w:sz w:val="21"/>
        </w:rPr>
        <w:t> </w:t>
      </w:r>
      <w:r>
        <w:rPr>
          <w:color w:val="2B2D2D"/>
          <w:w w:val="105"/>
          <w:sz w:val="21"/>
        </w:rPr>
        <w:t>a</w:t>
      </w:r>
      <w:r>
        <w:rPr>
          <w:color w:val="2B2D2D"/>
          <w:spacing w:val="-14"/>
          <w:w w:val="105"/>
          <w:sz w:val="21"/>
        </w:rPr>
        <w:t> </w:t>
      </w:r>
      <w:r>
        <w:rPr>
          <w:color w:val="2B2D2D"/>
          <w:w w:val="105"/>
          <w:sz w:val="21"/>
        </w:rPr>
        <w:t>notice</w:t>
      </w:r>
      <w:r>
        <w:rPr>
          <w:color w:val="2B2D2D"/>
          <w:spacing w:val="-9"/>
          <w:w w:val="105"/>
          <w:sz w:val="21"/>
        </w:rPr>
        <w:t> </w:t>
      </w:r>
      <w:r>
        <w:rPr>
          <w:color w:val="2B2D2D"/>
          <w:w w:val="105"/>
          <w:sz w:val="21"/>
        </w:rPr>
        <w:t>to</w:t>
      </w:r>
      <w:r>
        <w:rPr>
          <w:color w:val="2B2D2D"/>
          <w:spacing w:val="-15"/>
          <w:w w:val="105"/>
          <w:sz w:val="21"/>
        </w:rPr>
        <w:t> </w:t>
      </w:r>
      <w:r>
        <w:rPr>
          <w:color w:val="2B2D2D"/>
          <w:w w:val="105"/>
          <w:sz w:val="21"/>
        </w:rPr>
        <w:t>produce</w:t>
      </w:r>
      <w:r>
        <w:rPr>
          <w:color w:val="2B2D2D"/>
          <w:spacing w:val="-4"/>
          <w:w w:val="105"/>
          <w:sz w:val="21"/>
        </w:rPr>
        <w:t> </w:t>
      </w:r>
      <w:r>
        <w:rPr>
          <w:color w:val="2B2D2D"/>
          <w:w w:val="105"/>
          <w:sz w:val="21"/>
        </w:rPr>
        <w:t>commercial</w:t>
      </w:r>
      <w:r>
        <w:rPr>
          <w:color w:val="2B2D2D"/>
          <w:spacing w:val="3"/>
          <w:w w:val="105"/>
          <w:sz w:val="21"/>
        </w:rPr>
        <w:t> </w:t>
      </w:r>
      <w:r>
        <w:rPr>
          <w:color w:val="2B2D2D"/>
          <w:w w:val="105"/>
          <w:sz w:val="21"/>
        </w:rPr>
        <w:t>documents under</w:t>
      </w:r>
      <w:r>
        <w:rPr>
          <w:color w:val="2B2D2D"/>
          <w:spacing w:val="-7"/>
          <w:w w:val="105"/>
          <w:sz w:val="21"/>
        </w:rPr>
        <w:t> </w:t>
      </w:r>
      <w:r>
        <w:rPr>
          <w:color w:val="2B2D2D"/>
          <w:w w:val="105"/>
          <w:sz w:val="21"/>
        </w:rPr>
        <w:t>section</w:t>
      </w:r>
      <w:r>
        <w:rPr>
          <w:color w:val="2B2D2D"/>
          <w:spacing w:val="-7"/>
          <w:w w:val="105"/>
          <w:sz w:val="21"/>
        </w:rPr>
        <w:t> </w:t>
      </w:r>
      <w:r>
        <w:rPr>
          <w:color w:val="2B2D2D"/>
          <w:w w:val="105"/>
          <w:sz w:val="21"/>
        </w:rPr>
        <w:t>240AA</w:t>
      </w:r>
      <w:r>
        <w:rPr>
          <w:color w:val="2B2D2D"/>
          <w:spacing w:val="-3"/>
          <w:w w:val="105"/>
          <w:sz w:val="21"/>
        </w:rPr>
        <w:t> </w:t>
      </w:r>
      <w:r>
        <w:rPr>
          <w:color w:val="2B2D2D"/>
          <w:w w:val="105"/>
          <w:sz w:val="21"/>
        </w:rPr>
        <w:t>of the </w:t>
      </w:r>
      <w:r>
        <w:rPr>
          <w:i/>
          <w:color w:val="2B2D2D"/>
          <w:w w:val="105"/>
          <w:sz w:val="21"/>
        </w:rPr>
        <w:t>Customs Act 1901 </w:t>
      </w:r>
      <w:r>
        <w:rPr>
          <w:color w:val="2B2D2D"/>
          <w:w w:val="105"/>
          <w:sz w:val="21"/>
        </w:rPr>
        <w:t>(the Act);</w:t>
      </w:r>
      <w:r>
        <w:rPr>
          <w:color w:val="2B2D2D"/>
          <w:spacing w:val="6"/>
          <w:w w:val="105"/>
          <w:sz w:val="21"/>
        </w:rPr>
        <w:t> </w:t>
      </w:r>
      <w:r>
        <w:rPr>
          <w:color w:val="2B2D2D"/>
          <w:w w:val="105"/>
          <w:sz w:val="21"/>
        </w:rPr>
        <w:t>and/or</w:t>
      </w:r>
    </w:p>
    <w:p>
      <w:pPr>
        <w:pStyle w:val="ListParagraph"/>
        <w:numPr>
          <w:ilvl w:val="0"/>
          <w:numId w:val="1"/>
        </w:numPr>
        <w:tabs>
          <w:tab w:pos="892" w:val="left" w:leader="none"/>
          <w:tab w:pos="893" w:val="left" w:leader="none"/>
        </w:tabs>
        <w:spacing w:line="240" w:lineRule="auto" w:before="17" w:after="0"/>
        <w:ind w:left="892" w:right="0" w:hanging="359"/>
        <w:jc w:val="left"/>
        <w:rPr>
          <w:sz w:val="21"/>
        </w:rPr>
      </w:pPr>
      <w:r>
        <w:rPr>
          <w:color w:val="2B2D2D"/>
          <w:w w:val="105"/>
          <w:sz w:val="21"/>
        </w:rPr>
        <w:t>issuing a notice to verify records under section 240AC of the Act1;</w:t>
      </w:r>
      <w:r>
        <w:rPr>
          <w:color w:val="2B2D2D"/>
          <w:spacing w:val="18"/>
          <w:w w:val="105"/>
          <w:sz w:val="21"/>
        </w:rPr>
        <w:t> </w:t>
      </w:r>
      <w:r>
        <w:rPr>
          <w:color w:val="2B2D2D"/>
          <w:w w:val="105"/>
          <w:sz w:val="21"/>
        </w:rPr>
        <w:t>and/or</w:t>
      </w:r>
    </w:p>
    <w:p>
      <w:pPr>
        <w:pStyle w:val="ListParagraph"/>
        <w:numPr>
          <w:ilvl w:val="0"/>
          <w:numId w:val="1"/>
        </w:numPr>
        <w:tabs>
          <w:tab w:pos="894" w:val="left" w:leader="none"/>
          <w:tab w:pos="895" w:val="left" w:leader="none"/>
        </w:tabs>
        <w:spacing w:line="240" w:lineRule="auto" w:before="23" w:after="0"/>
        <w:ind w:left="894" w:right="0" w:hanging="361"/>
        <w:jc w:val="left"/>
        <w:rPr>
          <w:sz w:val="21"/>
        </w:rPr>
      </w:pPr>
      <w:r>
        <w:rPr>
          <w:color w:val="2B2D2D"/>
          <w:w w:val="105"/>
          <w:sz w:val="21"/>
        </w:rPr>
        <w:t>exercising monitoring powers under sections 214AA-214B of the</w:t>
      </w:r>
      <w:r>
        <w:rPr>
          <w:color w:val="2B2D2D"/>
          <w:spacing w:val="14"/>
          <w:w w:val="105"/>
          <w:sz w:val="21"/>
        </w:rPr>
        <w:t> </w:t>
      </w:r>
      <w:r>
        <w:rPr>
          <w:color w:val="2B2D2D"/>
          <w:w w:val="105"/>
          <w:sz w:val="21"/>
        </w:rPr>
        <w:t>Act.</w:t>
      </w:r>
    </w:p>
    <w:p>
      <w:pPr>
        <w:pStyle w:val="BodyText"/>
        <w:rPr>
          <w:sz w:val="20"/>
        </w:rPr>
      </w:pPr>
    </w:p>
    <w:p>
      <w:pPr>
        <w:pStyle w:val="BodyText"/>
        <w:rPr>
          <w:sz w:val="20"/>
        </w:rPr>
      </w:pPr>
    </w:p>
    <w:p>
      <w:pPr>
        <w:pStyle w:val="BodyText"/>
        <w:rPr>
          <w:sz w:val="20"/>
        </w:rPr>
      </w:pPr>
    </w:p>
    <w:p>
      <w:pPr>
        <w:pStyle w:val="BodyText"/>
        <w:spacing w:before="1"/>
        <w:rPr>
          <w:sz w:val="12"/>
        </w:rPr>
      </w:pPr>
      <w:r>
        <w:rPr/>
        <w:pict>
          <v:shape style="position:absolute;margin-left:85.583626pt;margin-top:9.188824pt;width:144.25pt;height:.1pt;mso-position-horizontal-relative:page;mso-position-vertical-relative:paragraph;z-index:-15728128;mso-wrap-distance-left:0;mso-wrap-distance-right:0" coordorigin="1712,184" coordsize="2885,0" path="m1712,184l4597,184e" filled="false" stroked="true" strokeweight=".480593pt" strokecolor="#000000">
            <v:path arrowok="t"/>
            <v:stroke dashstyle="solid"/>
            <w10:wrap type="topAndBottom"/>
          </v:shape>
        </w:pict>
      </w:r>
    </w:p>
    <w:p>
      <w:pPr>
        <w:spacing w:line="254" w:lineRule="auto" w:before="90"/>
        <w:ind w:left="538" w:right="660" w:hanging="4"/>
        <w:jc w:val="left"/>
        <w:rPr>
          <w:sz w:val="19"/>
        </w:rPr>
      </w:pPr>
      <w:r>
        <w:rPr>
          <w:rFonts w:ascii="Times New Roman"/>
          <w:color w:val="2B2D2D"/>
          <w:w w:val="105"/>
          <w:sz w:val="19"/>
          <w:vertAlign w:val="superscript"/>
        </w:rPr>
        <w:t>1</w:t>
      </w:r>
      <w:r>
        <w:rPr>
          <w:rFonts w:ascii="Times New Roman"/>
          <w:color w:val="2B2D2D"/>
          <w:w w:val="105"/>
          <w:sz w:val="19"/>
          <w:vertAlign w:val="baseline"/>
        </w:rPr>
        <w:t> </w:t>
      </w:r>
      <w:r>
        <w:rPr>
          <w:color w:val="2B2D2D"/>
          <w:w w:val="105"/>
          <w:sz w:val="19"/>
          <w:vertAlign w:val="baseline"/>
        </w:rPr>
        <w:t>Notices issued under sections 240AA and 240AC may be issued in relation to a customs broker who makes a refund application, a broker who submitted the original import declaration, and/or the importer of the subject goods.</w:t>
      </w:r>
    </w:p>
    <w:p>
      <w:pPr>
        <w:spacing w:after="0" w:line="254" w:lineRule="auto"/>
        <w:jc w:val="left"/>
        <w:rPr>
          <w:sz w:val="19"/>
        </w:rPr>
        <w:sectPr>
          <w:type w:val="continuous"/>
          <w:pgSz w:w="11900" w:h="16840"/>
          <w:pgMar w:top="580" w:bottom="280" w:left="1180" w:right="1060"/>
        </w:sectPr>
      </w:pPr>
    </w:p>
    <w:p>
      <w:pPr>
        <w:spacing w:line="249" w:lineRule="auto" w:before="80"/>
        <w:ind w:left="332" w:right="2111" w:hanging="7"/>
        <w:jc w:val="left"/>
        <w:rPr>
          <w:sz w:val="20"/>
        </w:rPr>
      </w:pPr>
      <w:bookmarkStart w:name="Page 2" w:id="2"/>
      <w:bookmarkEnd w:id="2"/>
      <w:r>
        <w:rPr/>
      </w:r>
      <w:r>
        <w:rPr>
          <w:w w:val="105"/>
          <w:sz w:val="20"/>
        </w:rPr>
        <w:t>Further information about monitoring powers can be found at </w:t>
      </w:r>
      <w:hyperlink r:id="rId6">
        <w:r>
          <w:rPr>
            <w:w w:val="105"/>
            <w:sz w:val="20"/>
            <w:u w:val="thick"/>
          </w:rPr>
          <w:t>www.border.gov.au/Busi/Comp/Comp/monitoring-export-examination-powers</w:t>
        </w:r>
        <w:r>
          <w:rPr>
            <w:w w:val="105"/>
            <w:sz w:val="20"/>
          </w:rPr>
          <w:t>.</w:t>
        </w:r>
      </w:hyperlink>
    </w:p>
    <w:p>
      <w:pPr>
        <w:pStyle w:val="BodyText"/>
        <w:spacing w:before="5"/>
      </w:pPr>
    </w:p>
    <w:p>
      <w:pPr>
        <w:spacing w:before="0"/>
        <w:ind w:left="327" w:right="0" w:firstLine="0"/>
        <w:jc w:val="left"/>
        <w:rPr>
          <w:b/>
          <w:sz w:val="20"/>
        </w:rPr>
      </w:pPr>
      <w:r>
        <w:rPr>
          <w:b/>
          <w:w w:val="105"/>
          <w:sz w:val="20"/>
        </w:rPr>
        <w:t>Further information</w:t>
      </w:r>
    </w:p>
    <w:p>
      <w:pPr>
        <w:pStyle w:val="BodyText"/>
        <w:spacing w:before="7"/>
        <w:rPr>
          <w:b/>
          <w:sz w:val="22"/>
        </w:rPr>
      </w:pPr>
    </w:p>
    <w:p>
      <w:pPr>
        <w:spacing w:line="256" w:lineRule="auto" w:before="0"/>
        <w:ind w:left="329" w:right="0" w:hanging="1"/>
        <w:jc w:val="left"/>
        <w:rPr>
          <w:sz w:val="20"/>
        </w:rPr>
      </w:pPr>
      <w:r>
        <w:rPr>
          <w:w w:val="105"/>
          <w:sz w:val="20"/>
        </w:rPr>
        <w:t>Inquiries about this notice should be directed to the Department's Cargo Support Centre at </w:t>
      </w:r>
      <w:hyperlink r:id="rId7">
        <w:r>
          <w:rPr>
            <w:w w:val="105"/>
            <w:sz w:val="20"/>
            <w:u w:val="thick"/>
          </w:rPr>
          <w:t>cargosupport@border.gov.au</w:t>
        </w:r>
        <w:r>
          <w:rPr>
            <w:w w:val="105"/>
            <w:sz w:val="20"/>
          </w:rPr>
          <w:t>.</w:t>
        </w:r>
      </w:hyperlink>
    </w:p>
    <w:p>
      <w:pPr>
        <w:pStyle w:val="BodyText"/>
        <w:rPr>
          <w:sz w:val="11"/>
        </w:rPr>
      </w:pPr>
      <w:r>
        <w:rPr/>
        <w:drawing>
          <wp:anchor distT="0" distB="0" distL="0" distR="0" allowOverlap="1" layoutInCell="1" locked="0" behindDoc="0" simplePos="0" relativeHeight="4">
            <wp:simplePos x="0" y="0"/>
            <wp:positionH relativeFrom="page">
              <wp:posOffset>902630</wp:posOffset>
            </wp:positionH>
            <wp:positionV relativeFrom="paragraph">
              <wp:posOffset>139199</wp:posOffset>
            </wp:positionV>
            <wp:extent cx="1279909" cy="52425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279909" cy="524255"/>
                    </a:xfrm>
                    <a:prstGeom prst="rect">
                      <a:avLst/>
                    </a:prstGeom>
                  </pic:spPr>
                </pic:pic>
              </a:graphicData>
            </a:graphic>
          </wp:anchor>
        </w:drawing>
      </w:r>
      <w:r>
        <w:rPr/>
        <w:drawing>
          <wp:anchor distT="0" distB="0" distL="0" distR="0" allowOverlap="1" layoutInCell="1" locked="0" behindDoc="0" simplePos="0" relativeHeight="5">
            <wp:simplePos x="0" y="0"/>
            <wp:positionH relativeFrom="page">
              <wp:posOffset>3750795</wp:posOffset>
            </wp:positionH>
            <wp:positionV relativeFrom="paragraph">
              <wp:posOffset>105649</wp:posOffset>
            </wp:positionV>
            <wp:extent cx="591196" cy="56692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591196" cy="566927"/>
                    </a:xfrm>
                    <a:prstGeom prst="rect">
                      <a:avLst/>
                    </a:prstGeom>
                  </pic:spPr>
                </pic:pic>
              </a:graphicData>
            </a:graphic>
          </wp:anchor>
        </w:drawing>
      </w:r>
    </w:p>
    <w:p>
      <w:pPr>
        <w:pStyle w:val="BodyText"/>
        <w:spacing w:before="1"/>
        <w:rPr>
          <w:sz w:val="6"/>
        </w:rPr>
      </w:pPr>
    </w:p>
    <w:p>
      <w:pPr>
        <w:spacing w:after="0"/>
        <w:rPr>
          <w:sz w:val="6"/>
        </w:rPr>
        <w:sectPr>
          <w:pgSz w:w="11900" w:h="16840"/>
          <w:pgMar w:top="1260" w:bottom="280" w:left="1180" w:right="1060"/>
        </w:sectPr>
      </w:pPr>
    </w:p>
    <w:p>
      <w:pPr>
        <w:spacing w:line="261" w:lineRule="auto" w:before="50"/>
        <w:ind w:left="203" w:right="254" w:firstLine="0"/>
        <w:jc w:val="left"/>
        <w:rPr>
          <w:sz w:val="20"/>
        </w:rPr>
      </w:pPr>
      <w:r>
        <w:rPr/>
        <w:pict>
          <v:shape style="position:absolute;margin-left:.120056pt;margin-top:221.907242pt;width:.1pt;height:124.9pt;mso-position-horizontal-relative:page;mso-position-vertical-relative:page;z-index:15731712" coordorigin="2,4438" coordsize="0,2498" path="m2,6936l2,6206m2,6187l2,4438e" filled="false" stroked="true" strokeweight=".240136pt" strokecolor="#000000">
            <v:path arrowok="t"/>
            <v:stroke dashstyle="solid"/>
            <w10:wrap type="none"/>
          </v:shape>
        </w:pict>
      </w:r>
      <w:r>
        <w:rPr>
          <w:sz w:val="20"/>
        </w:rPr>
        <w:t>Andrew Chandler Assistant Secretary</w:t>
      </w:r>
    </w:p>
    <w:p>
      <w:pPr>
        <w:spacing w:line="256" w:lineRule="auto" w:before="0"/>
        <w:ind w:left="207" w:right="8" w:hanging="9"/>
        <w:jc w:val="left"/>
        <w:rPr>
          <w:sz w:val="20"/>
        </w:rPr>
      </w:pPr>
      <w:r>
        <w:rPr>
          <w:w w:val="105"/>
          <w:sz w:val="20"/>
        </w:rPr>
        <w:t>Trade and Customs Branch Canberra, ACT</w:t>
      </w:r>
    </w:p>
    <w:p>
      <w:pPr>
        <w:pStyle w:val="BodyText"/>
        <w:spacing w:before="6"/>
        <w:rPr>
          <w:sz w:val="20"/>
        </w:rPr>
      </w:pPr>
    </w:p>
    <w:p>
      <w:pPr>
        <w:spacing w:before="0"/>
        <w:ind w:left="740" w:right="0" w:firstLine="0"/>
        <w:jc w:val="left"/>
        <w:rPr>
          <w:sz w:val="20"/>
        </w:rPr>
      </w:pPr>
      <w:r>
        <w:rPr>
          <w:w w:val="105"/>
          <w:sz w:val="20"/>
        </w:rPr>
        <w:t>June 2016</w:t>
      </w:r>
    </w:p>
    <w:p>
      <w:pPr>
        <w:spacing w:before="50"/>
        <w:ind w:left="323" w:right="0" w:firstLine="0"/>
        <w:jc w:val="left"/>
        <w:rPr>
          <w:sz w:val="20"/>
        </w:rPr>
      </w:pPr>
      <w:r>
        <w:rPr/>
        <w:br w:type="column"/>
      </w:r>
      <w:r>
        <w:rPr>
          <w:w w:val="105"/>
          <w:sz w:val="20"/>
        </w:rPr>
        <w:t>Kynan Gowland</w:t>
      </w:r>
    </w:p>
    <w:p>
      <w:pPr>
        <w:spacing w:line="256" w:lineRule="auto" w:before="15"/>
        <w:ind w:left="328" w:right="37" w:firstLine="0"/>
        <w:jc w:val="left"/>
        <w:rPr>
          <w:sz w:val="20"/>
        </w:rPr>
      </w:pPr>
      <w:r>
        <w:rPr>
          <w:w w:val="105"/>
          <w:sz w:val="20"/>
        </w:rPr>
        <w:t>Acting Commander Customs Compliance Australian Border Force</w:t>
      </w:r>
    </w:p>
    <w:p>
      <w:pPr>
        <w:spacing w:line="228" w:lineRule="exact" w:before="0"/>
        <w:ind w:left="332" w:right="0" w:firstLine="0"/>
        <w:jc w:val="left"/>
        <w:rPr>
          <w:sz w:val="20"/>
        </w:rPr>
      </w:pPr>
      <w:r>
        <w:rPr>
          <w:w w:val="105"/>
          <w:sz w:val="20"/>
        </w:rPr>
        <w:t>Canberra, ACT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7"/>
        </w:rPr>
      </w:pPr>
    </w:p>
    <w:p>
      <w:pPr>
        <w:spacing w:before="0"/>
        <w:ind w:left="3343" w:right="0" w:firstLine="0"/>
        <w:jc w:val="left"/>
        <w:rPr>
          <w:sz w:val="19"/>
        </w:rPr>
      </w:pPr>
      <w:r>
        <w:rPr>
          <w:w w:val="105"/>
          <w:sz w:val="19"/>
        </w:rPr>
        <w:t>Page 2 of 2</w:t>
      </w:r>
    </w:p>
    <w:sectPr>
      <w:type w:val="continuous"/>
      <w:pgSz w:w="11900" w:h="16840"/>
      <w:pgMar w:top="580" w:bottom="280" w:left="1180" w:right="1060"/>
      <w:cols w:num="2" w:equalWidth="0">
        <w:col w:w="2794" w:space="1735"/>
        <w:col w:w="513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93" w:hanging="358"/>
      </w:pPr>
      <w:rPr>
        <w:rFonts w:hint="default" w:ascii="Arial" w:hAnsi="Arial" w:eastAsia="Arial" w:cs="Arial"/>
        <w:color w:val="2B2D2D"/>
        <w:w w:val="102"/>
        <w:sz w:val="21"/>
        <w:szCs w:val="21"/>
        <w:lang w:val="en-US" w:eastAsia="en-US" w:bidi="ar-SA"/>
      </w:rPr>
    </w:lvl>
    <w:lvl w:ilvl="1">
      <w:start w:val="0"/>
      <w:numFmt w:val="bullet"/>
      <w:lvlText w:val="•"/>
      <w:lvlJc w:val="left"/>
      <w:pPr>
        <w:ind w:left="1776" w:hanging="358"/>
      </w:pPr>
      <w:rPr>
        <w:rFonts w:hint="default"/>
        <w:lang w:val="en-US" w:eastAsia="en-US" w:bidi="ar-SA"/>
      </w:rPr>
    </w:lvl>
    <w:lvl w:ilvl="2">
      <w:start w:val="0"/>
      <w:numFmt w:val="bullet"/>
      <w:lvlText w:val="•"/>
      <w:lvlJc w:val="left"/>
      <w:pPr>
        <w:ind w:left="2652" w:hanging="358"/>
      </w:pPr>
      <w:rPr>
        <w:rFonts w:hint="default"/>
        <w:lang w:val="en-US" w:eastAsia="en-US" w:bidi="ar-SA"/>
      </w:rPr>
    </w:lvl>
    <w:lvl w:ilvl="3">
      <w:start w:val="0"/>
      <w:numFmt w:val="bullet"/>
      <w:lvlText w:val="•"/>
      <w:lvlJc w:val="left"/>
      <w:pPr>
        <w:ind w:left="3528" w:hanging="358"/>
      </w:pPr>
      <w:rPr>
        <w:rFonts w:hint="default"/>
        <w:lang w:val="en-US" w:eastAsia="en-US" w:bidi="ar-SA"/>
      </w:rPr>
    </w:lvl>
    <w:lvl w:ilvl="4">
      <w:start w:val="0"/>
      <w:numFmt w:val="bullet"/>
      <w:lvlText w:val="•"/>
      <w:lvlJc w:val="left"/>
      <w:pPr>
        <w:ind w:left="4404" w:hanging="358"/>
      </w:pPr>
      <w:rPr>
        <w:rFonts w:hint="default"/>
        <w:lang w:val="en-US" w:eastAsia="en-US" w:bidi="ar-SA"/>
      </w:rPr>
    </w:lvl>
    <w:lvl w:ilvl="5">
      <w:start w:val="0"/>
      <w:numFmt w:val="bullet"/>
      <w:lvlText w:val="•"/>
      <w:lvlJc w:val="left"/>
      <w:pPr>
        <w:ind w:left="5280" w:hanging="358"/>
      </w:pPr>
      <w:rPr>
        <w:rFonts w:hint="default"/>
        <w:lang w:val="en-US" w:eastAsia="en-US" w:bidi="ar-SA"/>
      </w:rPr>
    </w:lvl>
    <w:lvl w:ilvl="6">
      <w:start w:val="0"/>
      <w:numFmt w:val="bullet"/>
      <w:lvlText w:val="•"/>
      <w:lvlJc w:val="left"/>
      <w:pPr>
        <w:ind w:left="6156" w:hanging="358"/>
      </w:pPr>
      <w:rPr>
        <w:rFonts w:hint="default"/>
        <w:lang w:val="en-US" w:eastAsia="en-US" w:bidi="ar-SA"/>
      </w:rPr>
    </w:lvl>
    <w:lvl w:ilvl="7">
      <w:start w:val="0"/>
      <w:numFmt w:val="bullet"/>
      <w:lvlText w:val="•"/>
      <w:lvlJc w:val="left"/>
      <w:pPr>
        <w:ind w:left="7032" w:hanging="358"/>
      </w:pPr>
      <w:rPr>
        <w:rFonts w:hint="default"/>
        <w:lang w:val="en-US" w:eastAsia="en-US" w:bidi="ar-SA"/>
      </w:rPr>
    </w:lvl>
    <w:lvl w:ilvl="8">
      <w:start w:val="0"/>
      <w:numFmt w:val="bullet"/>
      <w:lvlText w:val="•"/>
      <w:lvlJc w:val="left"/>
      <w:pPr>
        <w:ind w:left="7908" w:hanging="35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ind w:left="136"/>
      <w:outlineLvl w:val="1"/>
    </w:pPr>
    <w:rPr>
      <w:rFonts w:ascii="Arial" w:hAnsi="Arial" w:eastAsia="Arial" w:cs="Arial"/>
      <w:b/>
      <w:bCs/>
      <w:sz w:val="21"/>
      <w:szCs w:val="21"/>
      <w:lang w:val="en-US" w:eastAsia="en-US" w:bidi="ar-SA"/>
    </w:rPr>
  </w:style>
  <w:style w:styleId="Title" w:type="paragraph">
    <w:name w:val="Title"/>
    <w:basedOn w:val="Normal"/>
    <w:uiPriority w:val="1"/>
    <w:qFormat/>
    <w:pPr>
      <w:spacing w:before="91"/>
      <w:ind w:left="2676" w:right="387" w:hanging="3607"/>
    </w:pPr>
    <w:rPr>
      <w:rFonts w:ascii="Arial" w:hAnsi="Arial" w:eastAsia="Arial" w:cs="Arial"/>
      <w:b/>
      <w:bCs/>
      <w:sz w:val="27"/>
      <w:szCs w:val="27"/>
      <w:lang w:val="en-US" w:eastAsia="en-US" w:bidi="ar-SA"/>
    </w:rPr>
  </w:style>
  <w:style w:styleId="ListParagraph" w:type="paragraph">
    <w:name w:val="List Paragraph"/>
    <w:basedOn w:val="Normal"/>
    <w:uiPriority w:val="1"/>
    <w:qFormat/>
    <w:pPr>
      <w:spacing w:before="16"/>
      <w:ind w:left="892" w:hanging="35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Busi/Comp/Comp/monitoring-export-examination-powers" TargetMode="External"/><Relationship Id="rId7" Type="http://schemas.openxmlformats.org/officeDocument/2006/relationships/hyperlink" Target="mailto:cargosupport@border.gov.au"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DIBP</dc:creator>
  <cp:keywords>notice, dibp,refund</cp:keywords>
  <dc:title>DIBP Notice No. 2016/24 - Processing refund application</dc:title>
  <dcterms:created xsi:type="dcterms:W3CDTF">2020-12-09T22:29:33Z</dcterms:created>
  <dcterms:modified xsi:type="dcterms:W3CDTF">2020-12-09T22:29:33Z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2016-07-29T00:00:00Z</vt:filetime>
  </property>
  <property fmtid="{D5CDD505-2E9C-101B-9397-08002B2CF9AE}" pid="3" name="Creator">
    <vt:lpwstr>OmniPage CSDK 18</vt:lpwstr>
  </property>
  <property fmtid="{D5CDD505-2E9C-101B-9397-08002B2CF9AE}" pid="4" name="LastSaved">
    <vt:filetime>2020-12-09T00:00:00Z</vt:filetime>
  </property>
</Properties>
</file>